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9" w:type="dxa"/>
        <w:tblCellSpacing w:w="15" w:type="dxa"/>
        <w:tblLook w:val="04A0"/>
      </w:tblPr>
      <w:tblGrid>
        <w:gridCol w:w="9779"/>
      </w:tblGrid>
      <w:tr w:rsidR="00FE0DFF" w:rsidRPr="00BA56AB" w:rsidTr="00FE0D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DFF" w:rsidRDefault="00FE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56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Техническая спецификация</w:t>
            </w:r>
          </w:p>
          <w:p w:rsidR="00BA56AB" w:rsidRPr="00BA56AB" w:rsidRDefault="00BA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A56AB" w:rsidRPr="00BA56AB" w:rsidTr="008E66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56AB" w:rsidRDefault="008812B6" w:rsidP="00B02A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 </w:t>
            </w:r>
            <w:r w:rsidR="00BA56AB" w:rsidRPr="00BA5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Поставщик должен обеспечить медицинский осмотр сотрудников, согласно Приказа и.о. Министра национальной экономики Республики Казахстан от </w:t>
            </w:r>
            <w:r w:rsidR="00BA5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="00BA56AB" w:rsidRPr="00BA5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февраля </w:t>
            </w:r>
            <w:r w:rsidR="00BA5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A56AB" w:rsidRPr="00BA5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2015 года № </w:t>
            </w:r>
            <w:r w:rsidR="00BA5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175 </w:t>
            </w:r>
            <w:r w:rsidR="00BA56AB" w:rsidRPr="00BA5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(В соответствии с пунктом 4 статьи 155 Кодекса Республики Казахстан от 18 сентября 2009 года "О здоровье народа и системе здравоохранения")</w:t>
            </w:r>
            <w:r w:rsidR="00BA5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A56AB" w:rsidRPr="00BA5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согласно списку согласованному с Заказчиком.</w:t>
            </w:r>
          </w:p>
          <w:p w:rsidR="00B02A4C" w:rsidRDefault="00FC7D35" w:rsidP="00B02A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Коммунальное </w:t>
            </w:r>
            <w:r w:rsidRPr="00B02A4C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B02A4C" w:rsidRPr="00B02A4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им.Е.Мукашева</w:t>
            </w:r>
            <w:proofErr w:type="spellEnd"/>
            <w:r w:rsidR="00B02A4C" w:rsidRPr="00B02A4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Майского района</w:t>
            </w:r>
            <w:r w:rsidR="00B02A4C" w:rsidRPr="00B02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02A4C" w:rsidRPr="00B02A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Список работников </w:t>
            </w:r>
            <w:r w:rsidR="00B02A4C" w:rsidRPr="00B02A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B02A4C">
              <w:rPr>
                <w:rFonts w:ascii="Times New Roman" w:hAnsi="Times New Roman" w:cs="Times New Roman"/>
                <w:sz w:val="28"/>
                <w:szCs w:val="28"/>
              </w:rPr>
              <w:t>обязательные</w:t>
            </w:r>
            <w:r w:rsidR="00B02A4C" w:rsidRPr="00B02A4C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медицинские осмотры</w:t>
            </w:r>
            <w:r w:rsidR="006279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27921" w:rsidRPr="00627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5E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 w:rsidR="00D04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0401D" w:rsidRPr="008812B6" w:rsidRDefault="008812B6" w:rsidP="006347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81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</w:t>
            </w:r>
            <w:r w:rsidR="00D0401D" w:rsidRPr="006347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Место оказания услуг:</w:t>
            </w:r>
            <w:r w:rsidR="00D0401D" w:rsidRPr="00634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0401D" w:rsidRPr="006347BC">
              <w:rPr>
                <w:rFonts w:ascii="Times New Roman" w:hAnsi="Times New Roman" w:cs="Times New Roman"/>
                <w:sz w:val="28"/>
                <w:szCs w:val="28"/>
              </w:rPr>
              <w:t>все работники</w:t>
            </w:r>
            <w:r w:rsidR="00FC7D35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Коммунального</w:t>
            </w:r>
            <w:r w:rsidR="00D0401D" w:rsidRPr="006347B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учреждения </w:t>
            </w:r>
            <w:r w:rsidR="00FC7D35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proofErr w:type="spellStart"/>
            <w:r w:rsidR="00FC7D35">
              <w:rPr>
                <w:rFonts w:ascii="Times New Roman" w:hAnsi="Times New Roman" w:cs="Times New Roman"/>
                <w:sz w:val="28"/>
                <w:szCs w:val="28"/>
              </w:rPr>
              <w:t>им.Е.Мукашева</w:t>
            </w:r>
            <w:proofErr w:type="spellEnd"/>
            <w:r w:rsidR="00FC7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01D" w:rsidRPr="006347BC">
              <w:rPr>
                <w:rFonts w:ascii="Times New Roman" w:hAnsi="Times New Roman" w:cs="Times New Roman"/>
                <w:sz w:val="28"/>
                <w:szCs w:val="28"/>
              </w:rPr>
              <w:t xml:space="preserve"> Майского района " должны проходить обязательные медицинские осмотры один раз в год по причине прибытия из школ Майского района, расположенных в селах, по адресу: </w:t>
            </w:r>
            <w:r w:rsidR="00D0401D" w:rsidRPr="008812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Павлодарская область, Майский район, с. </w:t>
            </w:r>
            <w:proofErr w:type="spellStart"/>
            <w:r w:rsidR="00D0401D" w:rsidRPr="008812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Коктобе</w:t>
            </w:r>
            <w:proofErr w:type="spellEnd"/>
            <w:r w:rsidR="006347BC" w:rsidRPr="008812B6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.</w:t>
            </w:r>
          </w:p>
          <w:p w:rsidR="008812B6" w:rsidRDefault="008812B6" w:rsidP="008812B6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12B6">
              <w:rPr>
                <w:rFonts w:ascii="Times New Roman" w:hAnsi="Times New Roman"/>
                <w:sz w:val="28"/>
                <w:szCs w:val="28"/>
                <w:lang w:val="kk-KZ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812B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812B6">
              <w:rPr>
                <w:rFonts w:ascii="Times New Roman" w:hAnsi="Times New Roman"/>
                <w:sz w:val="28"/>
                <w:szCs w:val="28"/>
              </w:rPr>
              <w:t>Результаты обязательных медицинских осмотров, лабораторных исследований и допуск к работе должны отражаться в личной медицинской книжке. Поставщик должен обеспечить постоянное нахождение специалистов с 9:00 до 18:00 в местах оказания услуг</w:t>
            </w:r>
            <w:r w:rsidRPr="008812B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8812B6">
              <w:rPr>
                <w:rFonts w:ascii="Times New Roman" w:hAnsi="Times New Roman"/>
                <w:sz w:val="28"/>
                <w:szCs w:val="28"/>
              </w:rPr>
              <w:t xml:space="preserve"> Обеспечить качественное квалифицированное и специализированное медицинское освидетельствование</w:t>
            </w:r>
          </w:p>
          <w:p w:rsidR="00EE16A1" w:rsidRPr="00EE16A1" w:rsidRDefault="00AC1376" w:rsidP="0092275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C137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Срок ок</w:t>
            </w:r>
            <w:r w:rsidR="009227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Pr="00AC137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зан</w:t>
            </w:r>
            <w:r w:rsidR="009227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ия</w:t>
            </w:r>
            <w:r w:rsidRPr="00AC137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услуги: </w:t>
            </w:r>
            <w:r w:rsidRPr="00AC137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года </w:t>
            </w:r>
            <w:r w:rsidRPr="00AC1376">
              <w:rPr>
                <w:rFonts w:ascii="Times New Roman" w:hAnsi="Times New Roman" w:cs="Times New Roman"/>
                <w:sz w:val="28"/>
                <w:szCs w:val="28"/>
              </w:rPr>
              <w:t xml:space="preserve"> со дня заключения договора.</w:t>
            </w:r>
          </w:p>
        </w:tc>
      </w:tr>
      <w:tr w:rsidR="00BA56AB" w:rsidRPr="00BA56AB" w:rsidTr="008E66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56AB" w:rsidRDefault="00BA56AB"/>
        </w:tc>
      </w:tr>
    </w:tbl>
    <w:tbl>
      <w:tblPr>
        <w:tblStyle w:val="a3"/>
        <w:tblW w:w="0" w:type="auto"/>
        <w:tblLook w:val="04A0"/>
      </w:tblPr>
      <w:tblGrid>
        <w:gridCol w:w="534"/>
        <w:gridCol w:w="3118"/>
        <w:gridCol w:w="2074"/>
        <w:gridCol w:w="1677"/>
        <w:gridCol w:w="1789"/>
      </w:tblGrid>
      <w:tr w:rsidR="00AA3CE2" w:rsidRPr="00BA56AB" w:rsidTr="00AA3CE2">
        <w:tc>
          <w:tcPr>
            <w:tcW w:w="534" w:type="dxa"/>
          </w:tcPr>
          <w:p w:rsidR="00AA3CE2" w:rsidRPr="00BA56AB" w:rsidRDefault="00AA3CE2" w:rsidP="00544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118" w:type="dxa"/>
          </w:tcPr>
          <w:p w:rsidR="00AA3CE2" w:rsidRPr="00BA56AB" w:rsidRDefault="00AA3CE2" w:rsidP="00544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услуги</w:t>
            </w:r>
          </w:p>
        </w:tc>
        <w:tc>
          <w:tcPr>
            <w:tcW w:w="2074" w:type="dxa"/>
            <w:tcBorders>
              <w:top w:val="single" w:sz="4" w:space="0" w:color="auto"/>
              <w:right w:val="single" w:sz="4" w:space="0" w:color="auto"/>
            </w:tcBorders>
          </w:tcPr>
          <w:p w:rsidR="00AA3CE2" w:rsidRPr="00BA56AB" w:rsidRDefault="00AA3CE2" w:rsidP="001F7C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работников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AA3CE2" w:rsidRPr="00BA56AB" w:rsidRDefault="00AA3CE2" w:rsidP="00544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Цена за едицу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AA3CE2" w:rsidRPr="00BA56AB" w:rsidRDefault="00AA3CE2" w:rsidP="00544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сумма</w:t>
            </w:r>
          </w:p>
        </w:tc>
      </w:tr>
      <w:tr w:rsidR="00AA3CE2" w:rsidRPr="00BA56AB" w:rsidTr="00AA3CE2">
        <w:tc>
          <w:tcPr>
            <w:tcW w:w="534" w:type="dxa"/>
          </w:tcPr>
          <w:p w:rsidR="00AA3CE2" w:rsidRPr="00BA56AB" w:rsidRDefault="00AA3CE2" w:rsidP="00544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18" w:type="dxa"/>
          </w:tcPr>
          <w:p w:rsidR="00AA3CE2" w:rsidRPr="00BA56AB" w:rsidRDefault="00AA3CE2" w:rsidP="0054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 осмотр. Санитарная книжка. (женщин/мучжин)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AA3CE2" w:rsidRPr="00A75E49" w:rsidRDefault="0026560E" w:rsidP="00F37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F37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AA3CE2" w:rsidRPr="005D0C58" w:rsidRDefault="005D0C58" w:rsidP="0062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5742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AA3CE2" w:rsidRPr="00F37FAC" w:rsidRDefault="00A75E49" w:rsidP="00F37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7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F37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972</w:t>
            </w:r>
          </w:p>
        </w:tc>
      </w:tr>
    </w:tbl>
    <w:p w:rsidR="00FE0DFF" w:rsidRDefault="00FE0DFF" w:rsidP="00FE0DFF">
      <w:pPr>
        <w:rPr>
          <w:lang w:val="kk-KZ"/>
        </w:rPr>
      </w:pPr>
    </w:p>
    <w:p w:rsidR="00EE16A1" w:rsidRDefault="00EE16A1" w:rsidP="00FE0DFF">
      <w:pPr>
        <w:rPr>
          <w:lang w:val="kk-KZ"/>
        </w:rPr>
      </w:pPr>
    </w:p>
    <w:p w:rsidR="00EE16A1" w:rsidRDefault="00EE16A1" w:rsidP="00FE0DFF">
      <w:pPr>
        <w:rPr>
          <w:lang w:val="kk-KZ"/>
        </w:rPr>
      </w:pPr>
    </w:p>
    <w:p w:rsidR="00EE16A1" w:rsidRDefault="00EE16A1" w:rsidP="00FE0DFF">
      <w:pPr>
        <w:rPr>
          <w:lang w:val="kk-KZ"/>
        </w:rPr>
      </w:pPr>
    </w:p>
    <w:p w:rsidR="00EE16A1" w:rsidRDefault="00EE16A1" w:rsidP="00FE0DFF">
      <w:pPr>
        <w:rPr>
          <w:lang w:val="kk-KZ"/>
        </w:rPr>
      </w:pPr>
    </w:p>
    <w:p w:rsidR="00EE16A1" w:rsidRDefault="00EE16A1" w:rsidP="00FE0DFF">
      <w:pPr>
        <w:rPr>
          <w:lang w:val="kk-KZ"/>
        </w:rPr>
      </w:pPr>
    </w:p>
    <w:p w:rsidR="00EE16A1" w:rsidRDefault="00EE16A1" w:rsidP="00FE0DFF">
      <w:pPr>
        <w:rPr>
          <w:lang w:val="kk-KZ"/>
        </w:rPr>
      </w:pPr>
    </w:p>
    <w:p w:rsidR="00EE16A1" w:rsidRDefault="00EE16A1" w:rsidP="00FE0DFF">
      <w:pPr>
        <w:rPr>
          <w:lang w:val="kk-KZ"/>
        </w:rPr>
      </w:pPr>
    </w:p>
    <w:p w:rsidR="00EE16A1" w:rsidRDefault="00EE16A1" w:rsidP="00FE0DFF">
      <w:pPr>
        <w:rPr>
          <w:lang w:val="kk-KZ"/>
        </w:rPr>
      </w:pPr>
    </w:p>
    <w:p w:rsidR="00EE16A1" w:rsidRDefault="00EE16A1" w:rsidP="00FE0DFF">
      <w:pPr>
        <w:rPr>
          <w:lang w:val="kk-KZ"/>
        </w:rPr>
      </w:pPr>
    </w:p>
    <w:p w:rsidR="00EE16A1" w:rsidRPr="00EE16A1" w:rsidRDefault="00EE16A1" w:rsidP="00FE0DFF">
      <w:pPr>
        <w:rPr>
          <w:lang w:val="kk-KZ"/>
        </w:rPr>
      </w:pPr>
    </w:p>
    <w:tbl>
      <w:tblPr>
        <w:tblW w:w="9779" w:type="dxa"/>
        <w:tblCellSpacing w:w="15" w:type="dxa"/>
        <w:tblLook w:val="04A0"/>
      </w:tblPr>
      <w:tblGrid>
        <w:gridCol w:w="1639"/>
        <w:gridCol w:w="1625"/>
        <w:gridCol w:w="1625"/>
        <w:gridCol w:w="1625"/>
        <w:gridCol w:w="1625"/>
        <w:gridCol w:w="1640"/>
      </w:tblGrid>
      <w:tr w:rsidR="00FE0DFF" w:rsidTr="00FE0D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</w:tr>
      <w:tr w:rsidR="00FE0DFF" w:rsidTr="00FE0D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</w:tr>
      <w:tr w:rsidR="00FE0DFF" w:rsidTr="00FE0D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</w:tr>
      <w:tr w:rsidR="00FE0DFF" w:rsidTr="00FE0D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FE0DFF"/>
        </w:tc>
      </w:tr>
    </w:tbl>
    <w:p w:rsidR="00FE0DFF" w:rsidRPr="006D530B" w:rsidRDefault="006D530B" w:rsidP="00FE0D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530B">
        <w:rPr>
          <w:rFonts w:ascii="Times New Roman" w:hAnsi="Times New Roman" w:cs="Times New Roman"/>
          <w:b/>
          <w:sz w:val="28"/>
          <w:szCs w:val="28"/>
          <w:lang w:val="kk-KZ"/>
        </w:rPr>
        <w:t>Техникалық тапсырма</w:t>
      </w:r>
    </w:p>
    <w:tbl>
      <w:tblPr>
        <w:tblW w:w="9807" w:type="dxa"/>
        <w:tblCellSpacing w:w="15" w:type="dxa"/>
        <w:tblLayout w:type="fixed"/>
        <w:tblLook w:val="04A0"/>
      </w:tblPr>
      <w:tblGrid>
        <w:gridCol w:w="9236"/>
        <w:gridCol w:w="236"/>
        <w:gridCol w:w="80"/>
        <w:gridCol w:w="80"/>
        <w:gridCol w:w="80"/>
        <w:gridCol w:w="95"/>
      </w:tblGrid>
      <w:tr w:rsidR="00FE0DFF" w:rsidRPr="00E91AAF" w:rsidTr="008A7BD8">
        <w:trPr>
          <w:tblCellSpacing w:w="15" w:type="dxa"/>
        </w:trPr>
        <w:tc>
          <w:tcPr>
            <w:tcW w:w="9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Pr="00E91AAF" w:rsidRDefault="006D530B" w:rsidP="00E91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D5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Медициналық тексеру (ҰЭМ Бұйрығы №175 28.02.2015)</w:t>
            </w:r>
            <w:r w:rsidR="004427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4427E0" w:rsidRPr="004427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"Халық денсаулығы және денсаулық сақтау жүйесі туралы" Қазақстан Республикасының 2009 жылғы 18 қыркүйектегі Кодексінің 155-бабының 4-тармағына сәйкес"</w:t>
            </w:r>
            <w:r w:rsidRPr="004427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D5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сәйкес қ</w:t>
            </w:r>
            <w:r w:rsidR="00794F25" w:rsidRPr="006D5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ызметкерлердің міндетті   медициналық    тексеруден    өт</w:t>
            </w:r>
            <w:r w:rsidR="008A7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кіз</w:t>
            </w:r>
            <w:r w:rsidR="00794F25" w:rsidRPr="006D5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уі</w:t>
            </w:r>
            <w:r w:rsidR="008A7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E91AAF" w:rsidRPr="00E91A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91A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Тапсырыс беруші ұсынған тізім бойынша келісім арқылы.</w:t>
            </w:r>
          </w:p>
        </w:tc>
        <w:tc>
          <w:tcPr>
            <w:tcW w:w="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Pr="006D530B" w:rsidRDefault="00FE0DFF" w:rsidP="006D53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Pr="006D530B" w:rsidRDefault="008A7BD8" w:rsidP="006D53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Pr="006D530B" w:rsidRDefault="00FE0DFF" w:rsidP="006D53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Pr="006D530B" w:rsidRDefault="00FE0DFF" w:rsidP="006D53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Pr="006D530B" w:rsidRDefault="00FE0DFF" w:rsidP="006D53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0DFF" w:rsidRPr="00E91AAF" w:rsidTr="008A7BD8">
        <w:trPr>
          <w:tblCellSpacing w:w="15" w:type="dxa"/>
        </w:trPr>
        <w:tc>
          <w:tcPr>
            <w:tcW w:w="9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Pr="006D530B" w:rsidRDefault="00FE0DFF" w:rsidP="006D5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Pr="006D530B" w:rsidRDefault="00FE0DFF" w:rsidP="006D53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Pr="006D530B" w:rsidRDefault="00FE0DFF" w:rsidP="006D53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Pr="006D530B" w:rsidRDefault="00FE0DFF" w:rsidP="006D53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Pr="006D530B" w:rsidRDefault="00FE0DFF" w:rsidP="006D53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Pr="006D530B" w:rsidRDefault="00FE0DFF" w:rsidP="006D53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0DFF" w:rsidRPr="00F37FAC" w:rsidTr="008A7BD8">
        <w:trPr>
          <w:tblCellSpacing w:w="15" w:type="dxa"/>
        </w:trPr>
        <w:tc>
          <w:tcPr>
            <w:tcW w:w="9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Default="006D530B" w:rsidP="00B0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7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proofErr w:type="spellStart"/>
            <w:r w:rsidR="00DD79FA" w:rsidRPr="00DD79FA">
              <w:rPr>
                <w:rFonts w:ascii="Times New Roman" w:hAnsi="Times New Roman" w:cs="Times New Roman"/>
                <w:sz w:val="28"/>
                <w:szCs w:val="28"/>
              </w:rPr>
              <w:t>Ерсін</w:t>
            </w:r>
            <w:proofErr w:type="spellEnd"/>
            <w:r w:rsidR="00DD79FA" w:rsidRPr="00DD7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79FA" w:rsidRPr="00DD79FA">
              <w:rPr>
                <w:rFonts w:ascii="Times New Roman" w:hAnsi="Times New Roman" w:cs="Times New Roman"/>
                <w:sz w:val="28"/>
                <w:szCs w:val="28"/>
              </w:rPr>
              <w:t>Мұқашев</w:t>
            </w:r>
            <w:proofErr w:type="spellEnd"/>
            <w:r w:rsidR="00DD79FA" w:rsidRPr="00DD7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79FA" w:rsidRPr="00DD79FA">
              <w:rPr>
                <w:rFonts w:ascii="Times New Roman" w:hAnsi="Times New Roman" w:cs="Times New Roman"/>
                <w:sz w:val="28"/>
                <w:szCs w:val="28"/>
              </w:rPr>
              <w:t>атындағы</w:t>
            </w:r>
            <w:proofErr w:type="spellEnd"/>
            <w:r w:rsidR="00DD79FA" w:rsidRPr="00DD7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79FA" w:rsidRPr="00DD79FA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="00DD79FA" w:rsidRPr="00DD79FA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="00DD79FA" w:rsidRPr="00DD79FA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="00DD79FA" w:rsidRPr="00DD79FA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="00DD79FA" w:rsidRPr="00DD79FA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 w:rsidRPr="008A7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"мемлекеттік мекемесі</w:t>
            </w:r>
            <w:r w:rsidR="008A7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мектеп бойынша  медициналық тексері</w:t>
            </w:r>
            <w:r w:rsidR="006279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стен өтетін қызметкерлер саны </w:t>
            </w:r>
            <w:r w:rsidR="00343D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560E" w:rsidRPr="00A75E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7921" w:rsidRPr="00627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7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адам</w:t>
            </w:r>
            <w:r w:rsidR="00B02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0401D" w:rsidRPr="008812B6" w:rsidRDefault="00D0401D" w:rsidP="008812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D0401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Қызмет  көрсету  орны:</w:t>
            </w:r>
            <w:r w:rsidRPr="00D0401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 </w:t>
            </w:r>
            <w:r w:rsidRPr="00D04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</w:t>
            </w:r>
            <w:r w:rsidR="00DD79FA" w:rsidRPr="00DD7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Ерсін Мұқашев атындағы жалпы орта білім беру мектебі</w:t>
            </w:r>
            <w:r w:rsidRPr="00D04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мемлекеттік мекемесі барлық  қызметкерлері    </w:t>
            </w:r>
            <w:r w:rsidR="00DD7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D04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 ауданы     бойынша,  ауылдарда   орналасқан  мектептерден  келетін  себепті,   әр  қызметкердің  жылына   бір  рет  міндетті   медициналық  тексеруден  өту,  ағымдағы    жыл  соңына  дейін  созылуына  байланысты,  қызмет  көрсету орны,  мекен- жайы: </w:t>
            </w:r>
            <w:r w:rsidRPr="008812B6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Павлодар облысы, Май ауданы, Көктөбе ауылында болуы керек.</w:t>
            </w:r>
          </w:p>
          <w:p w:rsidR="00D0401D" w:rsidRDefault="008812B6" w:rsidP="008812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1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Міндетті медициналық тексерулердің, зертханалық зерттеулердің нәтижелері және жұмысқа рұқсат жеке медициналық кітапшада көрсетілуі тиіс. Өнім беруші мамандардың қызмет көрсету орындарында сағат 9:00-ден 18:00-ге дейін тұрақты болуын қамтамасыз етуі тиіс. </w:t>
            </w:r>
            <w:r w:rsidRPr="00B63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Сапалы білікті және мамандандырылған медициналық куәландыруды қамтамасыз ету</w:t>
            </w:r>
            <w:r w:rsidR="00EE1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E16A1" w:rsidRPr="00AC1376" w:rsidRDefault="00AC1376" w:rsidP="00AC13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13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 көрсету мерзімі: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AC13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келісім шарт қол қойған күннен бастап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соңына дейін.</w:t>
            </w:r>
          </w:p>
        </w:tc>
        <w:tc>
          <w:tcPr>
            <w:tcW w:w="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Pr="008A7BD8" w:rsidRDefault="00FE0DFF" w:rsidP="006D53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Pr="008A7BD8" w:rsidRDefault="00FE0DFF" w:rsidP="006D53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Pr="008A7BD8" w:rsidRDefault="00FE0DFF" w:rsidP="006D53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Pr="008A7BD8" w:rsidRDefault="00FE0DFF" w:rsidP="006D53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DFF" w:rsidRPr="008A7BD8" w:rsidRDefault="00FE0DFF" w:rsidP="006D53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tbl>
      <w:tblPr>
        <w:tblStyle w:val="a3"/>
        <w:tblW w:w="10065" w:type="dxa"/>
        <w:tblInd w:w="-459" w:type="dxa"/>
        <w:tblLook w:val="04A0"/>
      </w:tblPr>
      <w:tblGrid>
        <w:gridCol w:w="484"/>
        <w:gridCol w:w="4153"/>
        <w:gridCol w:w="1930"/>
        <w:gridCol w:w="1828"/>
        <w:gridCol w:w="1670"/>
      </w:tblGrid>
      <w:tr w:rsidR="008A7BD8" w:rsidRPr="006D530B" w:rsidTr="008812B6">
        <w:tc>
          <w:tcPr>
            <w:tcW w:w="484" w:type="dxa"/>
          </w:tcPr>
          <w:p w:rsidR="008A7BD8" w:rsidRPr="006D530B" w:rsidRDefault="008A7BD8" w:rsidP="008812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153" w:type="dxa"/>
          </w:tcPr>
          <w:p w:rsidR="008A7BD8" w:rsidRPr="006D530B" w:rsidRDefault="008A7BD8" w:rsidP="008812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</w:t>
            </w:r>
          </w:p>
        </w:tc>
        <w:tc>
          <w:tcPr>
            <w:tcW w:w="1930" w:type="dxa"/>
            <w:tcBorders>
              <w:right w:val="single" w:sz="4" w:space="0" w:color="auto"/>
            </w:tcBorders>
          </w:tcPr>
          <w:p w:rsidR="008A7BD8" w:rsidRPr="006D530B" w:rsidRDefault="00817299" w:rsidP="008812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Қызметкерлер саны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8A7BD8" w:rsidRPr="006D530B" w:rsidRDefault="00817299" w:rsidP="008812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Бағасы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A56AB" w:rsidRDefault="00817299" w:rsidP="008812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</w:t>
            </w:r>
            <w:r w:rsidR="00BA5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  <w:p w:rsidR="008A7BD8" w:rsidRPr="006D530B" w:rsidRDefault="00817299" w:rsidP="008812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сомасы</w:t>
            </w:r>
          </w:p>
        </w:tc>
      </w:tr>
      <w:tr w:rsidR="008A7BD8" w:rsidRPr="006D530B" w:rsidTr="008812B6">
        <w:tc>
          <w:tcPr>
            <w:tcW w:w="484" w:type="dxa"/>
          </w:tcPr>
          <w:p w:rsidR="008A7BD8" w:rsidRPr="006D530B" w:rsidRDefault="008A7BD8" w:rsidP="008812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53" w:type="dxa"/>
          </w:tcPr>
          <w:p w:rsidR="008A7BD8" w:rsidRPr="006D530B" w:rsidRDefault="008A7BD8" w:rsidP="006D5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Санитарлық кітапша бойынша әйелдердің</w:t>
            </w:r>
            <w:r w:rsidR="00BA5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D5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(еркектердің) медициналық тексерілуі</w:t>
            </w:r>
          </w:p>
        </w:tc>
        <w:tc>
          <w:tcPr>
            <w:tcW w:w="1930" w:type="dxa"/>
            <w:tcBorders>
              <w:right w:val="single" w:sz="4" w:space="0" w:color="auto"/>
            </w:tcBorders>
          </w:tcPr>
          <w:p w:rsidR="008A7BD8" w:rsidRPr="00F37FAC" w:rsidRDefault="0026560E" w:rsidP="00A75E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F37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8A7BD8" w:rsidRPr="00343DD1" w:rsidRDefault="00343DD1" w:rsidP="006D5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5742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8A7BD8" w:rsidRPr="00F37FAC" w:rsidRDefault="00F37FAC" w:rsidP="00D325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378 972</w:t>
            </w:r>
          </w:p>
        </w:tc>
      </w:tr>
    </w:tbl>
    <w:p w:rsidR="00FE0DFF" w:rsidRPr="006D530B" w:rsidRDefault="00FE0DFF" w:rsidP="00FE0DFF">
      <w:pPr>
        <w:rPr>
          <w:rFonts w:ascii="Times New Roman" w:hAnsi="Times New Roman" w:cs="Times New Roman"/>
          <w:sz w:val="28"/>
          <w:szCs w:val="28"/>
        </w:rPr>
      </w:pPr>
    </w:p>
    <w:p w:rsidR="00FE0DFF" w:rsidRDefault="00FE0DFF" w:rsidP="00FE0DFF">
      <w:pPr>
        <w:rPr>
          <w:lang w:val="kk-KZ"/>
        </w:rPr>
      </w:pPr>
    </w:p>
    <w:p w:rsidR="00FE0DFF" w:rsidRDefault="00FE0DFF" w:rsidP="00FE0DFF">
      <w:pPr>
        <w:rPr>
          <w:lang w:val="kk-KZ"/>
        </w:rPr>
      </w:pPr>
    </w:p>
    <w:p w:rsidR="00FE0DFF" w:rsidRDefault="00FE0DFF" w:rsidP="00FE0DFF">
      <w:pPr>
        <w:rPr>
          <w:lang w:val="kk-KZ"/>
        </w:rPr>
      </w:pPr>
    </w:p>
    <w:p w:rsidR="00FE0DFF" w:rsidRDefault="00FE0DFF" w:rsidP="00FE0DFF">
      <w:pPr>
        <w:rPr>
          <w:lang w:val="kk-KZ"/>
        </w:rPr>
      </w:pPr>
    </w:p>
    <w:p w:rsidR="00FE0DFF" w:rsidRDefault="00FE0DFF" w:rsidP="00FE0DFF">
      <w:pPr>
        <w:rPr>
          <w:lang w:val="kk-KZ"/>
        </w:rPr>
      </w:pPr>
    </w:p>
    <w:sectPr w:rsidR="00FE0DFF" w:rsidSect="0014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035D"/>
    <w:multiLevelType w:val="multilevel"/>
    <w:tmpl w:val="17CF035D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E4593"/>
    <w:multiLevelType w:val="hybridMultilevel"/>
    <w:tmpl w:val="458451B2"/>
    <w:lvl w:ilvl="0" w:tplc="6A8AD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57E"/>
    <w:rsid w:val="00044EFF"/>
    <w:rsid w:val="000B103E"/>
    <w:rsid w:val="000D1D62"/>
    <w:rsid w:val="00110AFA"/>
    <w:rsid w:val="00146E94"/>
    <w:rsid w:val="00151360"/>
    <w:rsid w:val="0018234B"/>
    <w:rsid w:val="001D5DEF"/>
    <w:rsid w:val="001F7C71"/>
    <w:rsid w:val="0026560E"/>
    <w:rsid w:val="00343DD1"/>
    <w:rsid w:val="003E5BED"/>
    <w:rsid w:val="004033F9"/>
    <w:rsid w:val="004427E0"/>
    <w:rsid w:val="004824F5"/>
    <w:rsid w:val="005D0C58"/>
    <w:rsid w:val="00623BD9"/>
    <w:rsid w:val="00627921"/>
    <w:rsid w:val="006347BC"/>
    <w:rsid w:val="00650501"/>
    <w:rsid w:val="006D530B"/>
    <w:rsid w:val="00794F25"/>
    <w:rsid w:val="007B5525"/>
    <w:rsid w:val="008075FA"/>
    <w:rsid w:val="00817299"/>
    <w:rsid w:val="0086253C"/>
    <w:rsid w:val="008812B6"/>
    <w:rsid w:val="00885845"/>
    <w:rsid w:val="008A7BD8"/>
    <w:rsid w:val="00922750"/>
    <w:rsid w:val="00976BBA"/>
    <w:rsid w:val="009810F2"/>
    <w:rsid w:val="00A02601"/>
    <w:rsid w:val="00A75E49"/>
    <w:rsid w:val="00AA3CE2"/>
    <w:rsid w:val="00AC1376"/>
    <w:rsid w:val="00AD2A70"/>
    <w:rsid w:val="00B02A4C"/>
    <w:rsid w:val="00B604ED"/>
    <w:rsid w:val="00B63506"/>
    <w:rsid w:val="00B8367D"/>
    <w:rsid w:val="00BA56AB"/>
    <w:rsid w:val="00C86DD9"/>
    <w:rsid w:val="00D0401D"/>
    <w:rsid w:val="00D30552"/>
    <w:rsid w:val="00D3253D"/>
    <w:rsid w:val="00D46621"/>
    <w:rsid w:val="00DD54E1"/>
    <w:rsid w:val="00DD79FA"/>
    <w:rsid w:val="00E11E50"/>
    <w:rsid w:val="00E91AAF"/>
    <w:rsid w:val="00EE16A1"/>
    <w:rsid w:val="00EE557E"/>
    <w:rsid w:val="00F37FAC"/>
    <w:rsid w:val="00FB43D4"/>
    <w:rsid w:val="00FC7D35"/>
    <w:rsid w:val="00FE0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5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12B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 закупщик</dc:creator>
  <cp:lastModifiedBy>User</cp:lastModifiedBy>
  <cp:revision>6</cp:revision>
  <dcterms:created xsi:type="dcterms:W3CDTF">2024-06-15T09:40:00Z</dcterms:created>
  <dcterms:modified xsi:type="dcterms:W3CDTF">2024-06-15T09:49:00Z</dcterms:modified>
</cp:coreProperties>
</file>