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6A33E" w14:textId="77777777" w:rsidR="00EA3E52" w:rsidRPr="00C947C0" w:rsidRDefault="00EA3E52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  <w:proofErr w:type="spellStart"/>
      <w:r w:rsidRPr="00C947C0">
        <w:rPr>
          <w:rStyle w:val="a4"/>
          <w:rFonts w:ascii="Times New Roman" w:hAnsi="Times New Roman" w:cs="Times New Roman"/>
          <w:b/>
          <w:i w:val="0"/>
          <w:color w:val="000000" w:themeColor="text1"/>
        </w:rPr>
        <w:t>Техникалық</w:t>
      </w:r>
      <w:proofErr w:type="spellEnd"/>
      <w:r w:rsidRPr="00C947C0">
        <w:rPr>
          <w:rStyle w:val="a4"/>
          <w:rFonts w:ascii="Times New Roman" w:hAnsi="Times New Roman" w:cs="Times New Roman"/>
          <w:b/>
          <w:i w:val="0"/>
          <w:color w:val="000000" w:themeColor="text1"/>
        </w:rPr>
        <w:t xml:space="preserve"> </w:t>
      </w:r>
      <w:proofErr w:type="spellStart"/>
      <w:r w:rsidRPr="00C947C0">
        <w:rPr>
          <w:rStyle w:val="a4"/>
          <w:rFonts w:ascii="Times New Roman" w:hAnsi="Times New Roman" w:cs="Times New Roman"/>
          <w:b/>
          <w:i w:val="0"/>
          <w:color w:val="000000" w:themeColor="text1"/>
        </w:rPr>
        <w:t>сипаттама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7317"/>
      </w:tblGrid>
      <w:tr w:rsidR="00C947C0" w:rsidRPr="00C947C0" w14:paraId="1FD85BAE" w14:textId="77777777" w:rsidTr="00405002">
        <w:trPr>
          <w:trHeight w:val="46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C68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Атауы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76E" w14:textId="0EDCBF38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етуді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пайдалану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құқығына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лицензияларды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ұзарту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жөніндегі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қызметтер</w:t>
            </w:r>
            <w:proofErr w:type="spellEnd"/>
          </w:p>
        </w:tc>
      </w:tr>
      <w:tr w:rsidR="00C947C0" w:rsidRPr="00C947C0" w14:paraId="792517D7" w14:textId="77777777" w:rsidTr="00405002">
        <w:trPr>
          <w:trHeight w:val="69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D5D6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Өлшембірлігі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259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 xml:space="preserve">1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>қызмет</w:t>
            </w:r>
            <w:proofErr w:type="spellEnd"/>
          </w:p>
        </w:tc>
      </w:tr>
      <w:tr w:rsidR="00C947C0" w:rsidRPr="00C947C0" w14:paraId="73AE4E7E" w14:textId="77777777" w:rsidTr="00405002">
        <w:trPr>
          <w:trHeight w:val="51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8872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Саны (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көлемі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)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246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>1</w:t>
            </w:r>
          </w:p>
        </w:tc>
      </w:tr>
      <w:tr w:rsidR="00C947C0" w:rsidRPr="00C947C0" w14:paraId="05ED0252" w14:textId="77777777" w:rsidTr="00405002">
        <w:trPr>
          <w:trHeight w:val="703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A87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Жеткізу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мерзімі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F2B" w14:textId="7A93CAE3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Шарт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жасалған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күннен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бастап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16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күнтізбелік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күн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ішінде</w:t>
            </w:r>
            <w:proofErr w:type="spellEnd"/>
          </w:p>
        </w:tc>
      </w:tr>
      <w:tr w:rsidR="00C947C0" w:rsidRPr="00C947C0" w14:paraId="737062FB" w14:textId="77777777" w:rsidTr="00405002">
        <w:trPr>
          <w:trHeight w:val="69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BFBB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Жеткізу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мекенжайы</w:t>
            </w:r>
            <w:proofErr w:type="spellEnd"/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4EC3" w14:textId="78185250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 xml:space="preserve">Павлодар қ. </w:t>
            </w:r>
            <w:r w:rsidR="0044250A" w:rsidRPr="0044250A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>ШАКАРИМ КУДАЙБЕРДИУЛЫ, 4</w:t>
            </w:r>
          </w:p>
        </w:tc>
      </w:tr>
      <w:tr w:rsidR="00C947C0" w:rsidRPr="00C947C0" w14:paraId="5DEF2754" w14:textId="77777777" w:rsidTr="00C947C0">
        <w:trPr>
          <w:trHeight w:val="785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6B6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Қажетті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сипаттамалардың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параметрлердің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және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басқа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бастапқы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деректердің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сипаттамасы</w:t>
            </w:r>
            <w:proofErr w:type="spellEnd"/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: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3F4" w14:textId="245E5590" w:rsidR="00EA3E52" w:rsidRPr="00C947C0" w:rsidRDefault="00C947C0" w:rsidP="00405002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Сатып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алу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КҚ-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ға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сәйкес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белгіленген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етуді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лицензиялық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етуді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толықтыру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жаңғырту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жете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жарақтандыру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үшін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жүргізіледі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>."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Мемлекеттік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сатып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алу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туралы"Заңның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38-бабы 2-тармағының 1-тармағы.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берушіде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бар DR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антивирустық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қорғ</w:t>
            </w:r>
            <w:proofErr w:type="gramStart"/>
            <w:r w:rsidRPr="00C947C0">
              <w:rPr>
                <w:rFonts w:ascii="Times New Roman" w:hAnsi="Times New Roman" w:cs="Times New Roman"/>
                <w:color w:val="000000" w:themeColor="text1"/>
              </w:rPr>
              <w:t>ау</w:t>
            </w:r>
            <w:proofErr w:type="spellEnd"/>
            <w:proofErr w:type="gram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жүйесінің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қамтамасыз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етуін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толықтыру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жаңғырту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жете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жарақтандыру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4250A">
              <w:t xml:space="preserve"> </w:t>
            </w:r>
            <w:proofErr w:type="spellStart"/>
            <w:r w:rsidR="0044250A" w:rsidRPr="0044250A">
              <w:rPr>
                <w:rFonts w:ascii="Times New Roman" w:hAnsi="Times New Roman" w:cs="Times New Roman"/>
                <w:color w:val="000000" w:themeColor="text1"/>
              </w:rPr>
              <w:t>Kaspersky</w:t>
            </w:r>
            <w:proofErr w:type="spellEnd"/>
            <w:r w:rsidR="0044250A" w:rsidRPr="004425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44250A" w:rsidRPr="0044250A">
              <w:rPr>
                <w:rFonts w:ascii="Times New Roman" w:hAnsi="Times New Roman" w:cs="Times New Roman"/>
                <w:color w:val="000000" w:themeColor="text1"/>
              </w:rPr>
              <w:t>Anti-Virus</w:t>
            </w:r>
            <w:proofErr w:type="spellEnd"/>
            <w:r w:rsidR="0044250A" w:rsidRPr="004425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947C0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кешенді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қорғау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) +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="00F9616E">
              <w:rPr>
                <w:rFonts w:ascii="Times New Roman" w:hAnsi="Times New Roman" w:cs="Times New Roman"/>
                <w:color w:val="000000" w:themeColor="text1"/>
              </w:rPr>
              <w:t>асқару</w:t>
            </w:r>
            <w:proofErr w:type="spellEnd"/>
            <w:r w:rsidR="00F961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9616E">
              <w:rPr>
                <w:rFonts w:ascii="Times New Roman" w:hAnsi="Times New Roman" w:cs="Times New Roman"/>
                <w:color w:val="000000" w:themeColor="text1"/>
              </w:rPr>
              <w:t>орталығы</w:t>
            </w:r>
            <w:proofErr w:type="spellEnd"/>
            <w:r w:rsidR="00F9616E">
              <w:rPr>
                <w:rFonts w:ascii="Times New Roman" w:hAnsi="Times New Roman" w:cs="Times New Roman"/>
                <w:color w:val="000000" w:themeColor="text1"/>
              </w:rPr>
              <w:t>, 5</w:t>
            </w:r>
            <w:bookmarkStart w:id="0" w:name="_GoBack"/>
            <w:bookmarkEnd w:id="0"/>
            <w:r w:rsidR="006C6A15">
              <w:rPr>
                <w:rFonts w:ascii="Times New Roman" w:hAnsi="Times New Roman" w:cs="Times New Roman"/>
                <w:color w:val="000000" w:themeColor="text1"/>
              </w:rPr>
              <w:t xml:space="preserve"> ДК</w:t>
            </w:r>
            <w:r w:rsidRPr="00C947C0">
              <w:rPr>
                <w:rFonts w:ascii="Times New Roman" w:hAnsi="Times New Roman" w:cs="Times New Roman"/>
                <w:color w:val="000000" w:themeColor="text1"/>
              </w:rPr>
              <w:t>, 12 ай</w:t>
            </w:r>
            <w:proofErr w:type="gramStart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., </w:t>
            </w:r>
            <w:proofErr w:type="spellStart"/>
            <w:proofErr w:type="gramEnd"/>
            <w:r w:rsidRPr="00C947C0">
              <w:rPr>
                <w:rFonts w:ascii="Times New Roman" w:hAnsi="Times New Roman" w:cs="Times New Roman"/>
                <w:color w:val="000000" w:themeColor="text1"/>
              </w:rPr>
              <w:t>жеткізушінің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орнатуымен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конфигурациясымен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қашықтағы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қаражатсыз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Жеткізуші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өз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бетінше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берушінің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нақты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мекен-жайы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бойынша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бағдарламаны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орнатуды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кілтті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іске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қосуды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бағдарламаны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берушінің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қажеттіліктеріне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сәйкес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конфигурациялауды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ұсынылған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бағдарламаның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дұрыс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жұмысын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көрсетуді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қажет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етеді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Лицензияның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қолданылу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мерзімі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ішінде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Қазақстан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Республикасында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өндірушіден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мемлекеттік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орыс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тілдерінде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жергілікті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техникалық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қолдау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көрсету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Жүйенің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интерфейсі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оның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барлық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модульдері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мемлекеттік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және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орыс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тілдеріндегі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контекстік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анықтамалық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жүйе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Файлдық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серверлері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бар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барлық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станцияларына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бірыңғай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сериялық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нөмір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Өнім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беруші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берушіге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тапсырыс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берушінің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заңды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тұлғасына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ресімделген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активтендіру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кілті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мен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лицензиялық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сертификатты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ұсынады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Жеткізілген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сериялық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нөмір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кешіктірілген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іске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қосу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мүмкіндігіне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ие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болуы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керек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Жеткізілген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сериялық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нөмірдің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жарамдылық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мерзімі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сериялық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нөмір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іске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қосылған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сәттен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басталуы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керек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ҚР СТ ГОСТ Р 51188-2007 "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ақпаратты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қорғау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Компьютерлік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вирустардың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болуына</w:t>
            </w:r>
            <w:proofErr w:type="spellEnd"/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947C0">
              <w:rPr>
                <w:rFonts w:ascii="Times New Roman" w:hAnsi="Times New Roman" w:cs="Times New Roman"/>
                <w:color w:val="000000" w:themeColor="text1"/>
              </w:rPr>
              <w:t>бағдарламалық</w:t>
            </w:r>
            <w:proofErr w:type="spellEnd"/>
          </w:p>
        </w:tc>
      </w:tr>
    </w:tbl>
    <w:p w14:paraId="3AC4AA7E" w14:textId="77777777" w:rsidR="00EA3E52" w:rsidRPr="00C947C0" w:rsidRDefault="00EA3E52" w:rsidP="00EA3E52">
      <w:pPr>
        <w:rPr>
          <w:rStyle w:val="a4"/>
          <w:rFonts w:ascii="Times New Roman" w:hAnsi="Times New Roman" w:cs="Times New Roman"/>
          <w:i w:val="0"/>
          <w:color w:val="000000" w:themeColor="text1"/>
        </w:rPr>
      </w:pPr>
    </w:p>
    <w:p w14:paraId="25CD699C" w14:textId="77777777" w:rsidR="00EA3E52" w:rsidRPr="00C947C0" w:rsidRDefault="00EA3E52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11B723C2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39E38558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687F5FD3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798C2034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0FBC6314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4931B73A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134F186B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5C688D5F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320460CF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6D02C33B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1E08AD11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4DE417C0" w14:textId="77777777" w:rsidR="00C947C0" w:rsidRPr="00C947C0" w:rsidRDefault="00C947C0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</w:p>
    <w:p w14:paraId="5459443C" w14:textId="77777777" w:rsidR="00EA3E52" w:rsidRPr="00C947C0" w:rsidRDefault="00EA3E52" w:rsidP="00EA3E52">
      <w:pPr>
        <w:jc w:val="center"/>
        <w:rPr>
          <w:rStyle w:val="a4"/>
          <w:rFonts w:ascii="Times New Roman" w:hAnsi="Times New Roman" w:cs="Times New Roman"/>
          <w:b/>
          <w:i w:val="0"/>
          <w:color w:val="000000" w:themeColor="text1"/>
        </w:rPr>
      </w:pPr>
      <w:r w:rsidRPr="00C947C0">
        <w:rPr>
          <w:rStyle w:val="a4"/>
          <w:rFonts w:ascii="Times New Roman" w:hAnsi="Times New Roman" w:cs="Times New Roman"/>
          <w:b/>
          <w:i w:val="0"/>
          <w:color w:val="000000" w:themeColor="text1"/>
        </w:rPr>
        <w:lastRenderedPageBreak/>
        <w:t>Техническая спецификация</w:t>
      </w:r>
    </w:p>
    <w:tbl>
      <w:tblPr>
        <w:tblStyle w:val="11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7371"/>
      </w:tblGrid>
      <w:tr w:rsidR="00C947C0" w:rsidRPr="00C947C0" w14:paraId="7B01676C" w14:textId="77777777" w:rsidTr="00405002">
        <w:trPr>
          <w:trHeight w:val="8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A555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Наименование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188" w14:textId="2A0627ED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Услуги по продлению лицензий на право использования программного обеспечения</w:t>
            </w:r>
          </w:p>
        </w:tc>
      </w:tr>
      <w:tr w:rsidR="00C947C0" w:rsidRPr="00C947C0" w14:paraId="0B01E419" w14:textId="77777777" w:rsidTr="00405002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A333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Единица измерения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DD3A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>1 услуга</w:t>
            </w:r>
          </w:p>
        </w:tc>
      </w:tr>
      <w:tr w:rsidR="00C947C0" w:rsidRPr="00C947C0" w14:paraId="583312F3" w14:textId="77777777" w:rsidTr="00405002">
        <w:trPr>
          <w:trHeight w:val="4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4761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Количество (объем)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C34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>1</w:t>
            </w:r>
          </w:p>
        </w:tc>
      </w:tr>
      <w:tr w:rsidR="00C947C0" w:rsidRPr="00C947C0" w14:paraId="58BD2B5C" w14:textId="77777777" w:rsidTr="00C947C0">
        <w:trPr>
          <w:trHeight w:val="5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6A0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Срок поставки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381" w14:textId="612BEFDD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 течении 16 календарных дней со дня заключения договора</w:t>
            </w:r>
          </w:p>
        </w:tc>
      </w:tr>
      <w:tr w:rsidR="00C947C0" w:rsidRPr="00C947C0" w14:paraId="500CAC35" w14:textId="77777777" w:rsidTr="00C947C0">
        <w:trPr>
          <w:trHeight w:val="7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DE8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Адрес поставки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64A" w14:textId="642FB9A0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 xml:space="preserve">г. Павлодар, ул. </w:t>
            </w:r>
            <w:r w:rsidR="00EB2D88" w:rsidRPr="00EB2D88"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  <w:t>ШАКАРИМ КУДАЙБЕРДИУЛЫ, 4</w:t>
            </w:r>
          </w:p>
        </w:tc>
      </w:tr>
      <w:tr w:rsidR="00C947C0" w:rsidRPr="00C947C0" w14:paraId="4335C127" w14:textId="77777777" w:rsidTr="00405002">
        <w:trPr>
          <w:trHeight w:val="1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599A" w14:textId="77777777" w:rsidR="00EA3E52" w:rsidRPr="00C947C0" w:rsidRDefault="00EA3E52" w:rsidP="00405002">
            <w:pPr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C947C0">
              <w:rPr>
                <w:rStyle w:val="a4"/>
                <w:rFonts w:ascii="Times New Roman" w:hAnsi="Times New Roman" w:cs="Times New Roman"/>
                <w:b/>
                <w:i w:val="0"/>
                <w:color w:val="000000" w:themeColor="text1"/>
              </w:rPr>
              <w:t>Описание требуемых характеристик, параметров и иных исходных данных: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3CA" w14:textId="332F106A" w:rsidR="00EA3E52" w:rsidRPr="00C947C0" w:rsidRDefault="00EA3E52" w:rsidP="002E3447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Закупка проводится для доукомплектования, модернизации и дооснащения установленного программного обеспечения (лицензионного программного обеспечения), согласно </w:t>
            </w:r>
            <w:r w:rsidR="006C13A7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пп.1 </w:t>
            </w:r>
            <w:r w:rsidRPr="00C947C0">
              <w:rPr>
                <w:rFonts w:ascii="Times New Roman" w:hAnsi="Times New Roman" w:cs="Times New Roman"/>
                <w:bCs/>
                <w:color w:val="000000" w:themeColor="text1"/>
              </w:rPr>
              <w:t>п. 2 ст. 38 Закон</w:t>
            </w:r>
            <w:r w:rsidR="006C13A7" w:rsidRPr="00C947C0">
              <w:rPr>
                <w:rFonts w:ascii="Times New Roman" w:hAnsi="Times New Roman" w:cs="Times New Roman"/>
                <w:bCs/>
                <w:color w:val="000000" w:themeColor="text1"/>
              </w:rPr>
              <w:t>а «О государственных закупках». Доукомплектование, модернизации и дооснащения</w:t>
            </w:r>
            <w:r w:rsidR="00C947C0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имеющегося</w:t>
            </w:r>
            <w:r w:rsidR="006C13A7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у заказчика</w:t>
            </w:r>
            <w:r w:rsidR="00C947C0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A1EED" w:rsidRPr="00C947C0">
              <w:rPr>
                <w:rFonts w:ascii="Times New Roman" w:hAnsi="Times New Roman" w:cs="Times New Roman"/>
                <w:bCs/>
                <w:color w:val="000000" w:themeColor="text1"/>
              </w:rPr>
              <w:t>программного</w:t>
            </w:r>
            <w:r w:rsidR="00C947C0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обеспечения</w:t>
            </w:r>
            <w:r w:rsidR="006C13A7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Системы антивирусной защиты </w:t>
            </w:r>
            <w:bookmarkStart w:id="1" w:name="_Hlk115261538"/>
            <w:r w:rsidR="005A1EE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Kaspersky</w:t>
            </w:r>
            <w:r w:rsidR="005A1EED" w:rsidRPr="005A1EE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5A1EE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Anti</w:t>
            </w:r>
            <w:r w:rsidR="005A1EED" w:rsidRPr="005A1EED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  <w:r w:rsidR="005A1EED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Virus</w:t>
            </w:r>
            <w:r w:rsidR="006C13A7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bookmarkEnd w:id="1"/>
            <w:r w:rsidR="006C13A7" w:rsidRPr="00C947C0">
              <w:rPr>
                <w:rFonts w:ascii="Times New Roman" w:hAnsi="Times New Roman" w:cs="Times New Roman"/>
                <w:bCs/>
                <w:color w:val="000000" w:themeColor="text1"/>
              </w:rPr>
              <w:t>Комплексная за</w:t>
            </w:r>
            <w:r w:rsidR="00E62901">
              <w:rPr>
                <w:rFonts w:ascii="Times New Roman" w:hAnsi="Times New Roman" w:cs="Times New Roman"/>
                <w:bCs/>
                <w:color w:val="000000" w:themeColor="text1"/>
              </w:rPr>
              <w:t>щита) + Центр управления, на 5</w:t>
            </w:r>
            <w:r w:rsidR="006C13A7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ПК продление, 12 мес., с установкой и настройкой поставщиком, без удалённых средств. </w:t>
            </w:r>
            <w:r w:rsidRPr="00C947C0">
              <w:rPr>
                <w:rFonts w:ascii="Times New Roman" w:hAnsi="Times New Roman" w:cs="Times New Roman"/>
                <w:bCs/>
                <w:color w:val="000000" w:themeColor="text1"/>
              </w:rPr>
              <w:t>Поставщику необходимо самостоятельно, по фактическому адресу нахождения заказчика: произвести установку программы и активацию клю</w:t>
            </w:r>
            <w:r w:rsidR="00163F4A" w:rsidRPr="00C947C0">
              <w:rPr>
                <w:rFonts w:ascii="Times New Roman" w:hAnsi="Times New Roman" w:cs="Times New Roman"/>
                <w:bCs/>
                <w:color w:val="000000" w:themeColor="text1"/>
              </w:rPr>
              <w:t>ча, настроить программу под нужд</w:t>
            </w:r>
            <w:r w:rsidRPr="00C947C0">
              <w:rPr>
                <w:rFonts w:ascii="Times New Roman" w:hAnsi="Times New Roman" w:cs="Times New Roman"/>
                <w:bCs/>
                <w:color w:val="000000" w:themeColor="text1"/>
              </w:rPr>
              <w:t>ы заказчика, продемонстрировать исправную работу предоставленной программы.</w:t>
            </w:r>
            <w:r w:rsidR="00163F4A"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C947C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Локальная техническая поддержка от производителя в Республике Казахстан в течение всего срока действия лицензии на государственном и русском языках. Интерфейс системы и всех её модулей, контекстная справочная система на государственном и русском языках. </w:t>
            </w:r>
            <w:r w:rsidRPr="00C947C0">
              <w:rPr>
                <w:rFonts w:ascii="Times New Roman" w:hAnsi="Times New Roman" w:cs="Times New Roman"/>
                <w:color w:val="000000" w:themeColor="text1"/>
              </w:rPr>
              <w:t xml:space="preserve">Единый серийный номер на все рабочие станции с файловыми серверами. Поставщик предоставляет заказчику: ключ активации и лицензионный сертификат, оформленные на юридическое лицо заказчика. Поставляемый серийный номер должен иметь возможность отложенной активации. Срок действия поставляемого серийного номера должен начинаться с момента активации серийного номера. Программа должна быть сертифицирована в соответствии </w:t>
            </w:r>
            <w:r w:rsidR="002E3447" w:rsidRPr="00C947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СТ РК ГОСТ Р 51188-2007 </w:t>
            </w:r>
            <w:r w:rsidRPr="00C947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«Защита информации. Испытания программных средств на наличие компьютерных вирусов. Общие требования». </w:t>
            </w:r>
          </w:p>
          <w:p w14:paraId="0B54D40D" w14:textId="77777777" w:rsidR="00EA3E52" w:rsidRPr="00C947C0" w:rsidRDefault="00EA3E52" w:rsidP="00EA3E52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9041B7" w14:textId="77777777" w:rsidR="00EA3E52" w:rsidRPr="00C947C0" w:rsidRDefault="00EA3E52" w:rsidP="00EA3E52">
            <w:pPr>
              <w:jc w:val="both"/>
              <w:rPr>
                <w:rStyle w:val="a4"/>
                <w:rFonts w:ascii="Times New Roman" w:hAnsi="Times New Roman" w:cs="Times New Roman"/>
                <w:i w:val="0"/>
                <w:color w:val="000000" w:themeColor="text1"/>
              </w:rPr>
            </w:pPr>
          </w:p>
        </w:tc>
      </w:tr>
    </w:tbl>
    <w:p w14:paraId="003FCD70" w14:textId="77777777" w:rsidR="00EA3E52" w:rsidRPr="00C947C0" w:rsidRDefault="00EA3E52" w:rsidP="00EA3E52">
      <w:pPr>
        <w:rPr>
          <w:rStyle w:val="a4"/>
          <w:rFonts w:ascii="Times New Roman" w:hAnsi="Times New Roman" w:cs="Times New Roman"/>
          <w:i w:val="0"/>
          <w:color w:val="000000" w:themeColor="text1"/>
        </w:rPr>
      </w:pPr>
    </w:p>
    <w:p w14:paraId="6DB646F0" w14:textId="77777777" w:rsidR="00EA3E52" w:rsidRPr="00C947C0" w:rsidRDefault="00EA3E52" w:rsidP="000170C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4CC5A9B" w14:textId="77777777" w:rsidR="00EA3E52" w:rsidRPr="00C947C0" w:rsidRDefault="00EA3E52" w:rsidP="000170C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EBC91B3" w14:textId="77777777" w:rsidR="00EA3E52" w:rsidRPr="00EA3E52" w:rsidRDefault="00EA3E52" w:rsidP="000170C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sectPr w:rsidR="00EA3E52" w:rsidRPr="00EA3E52" w:rsidSect="007A377C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MS Gothic"/>
    <w:charset w:val="01"/>
    <w:family w:val="swiss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C24AD"/>
    <w:multiLevelType w:val="multilevel"/>
    <w:tmpl w:val="493CF3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  <w:sz w:val="24"/>
        <w:szCs w:val="24"/>
        <w:lang w:val="en-US"/>
      </w:rPr>
    </w:lvl>
    <w:lvl w:ilvl="1">
      <w:start w:val="1"/>
      <w:numFmt w:val="decimal"/>
      <w:lvlText w:val="%1.%2"/>
      <w:lvlJc w:val="left"/>
      <w:pPr>
        <w:tabs>
          <w:tab w:val="num" w:pos="170"/>
        </w:tabs>
        <w:ind w:left="576" w:hanging="576"/>
      </w:pPr>
      <w:rPr>
        <w:rFonts w:ascii="Times New Roman" w:hAnsi="Times New Roman" w:cs="Times New Roman" w:hint="default"/>
        <w:b/>
        <w:bCs/>
        <w:sz w:val="24"/>
        <w:szCs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OpenSymbol;Arial Unicode MS" w:hAnsi="Times New Roman" w:cs="Times New Roman"/>
        <w:b/>
        <w:bCs/>
        <w:iCs/>
        <w:color w:val="000000"/>
        <w:sz w:val="24"/>
        <w:szCs w:val="24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eastAsia="OpenSymbol;Arial Unicode MS" w:hAnsi="Times New Roman" w:cs="Times New Roman"/>
        <w:b/>
        <w:bCs/>
        <w:iCs/>
        <w:color w:val="00000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/>
        <w:bCs/>
        <w:sz w:val="24"/>
        <w:szCs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CC"/>
    <w:rsid w:val="000170CC"/>
    <w:rsid w:val="00031C3C"/>
    <w:rsid w:val="000C3107"/>
    <w:rsid w:val="000C399C"/>
    <w:rsid w:val="00163F4A"/>
    <w:rsid w:val="00167197"/>
    <w:rsid w:val="001A46E6"/>
    <w:rsid w:val="001E7118"/>
    <w:rsid w:val="00223BDF"/>
    <w:rsid w:val="00240D77"/>
    <w:rsid w:val="00296C10"/>
    <w:rsid w:val="00297F52"/>
    <w:rsid w:val="002C5B75"/>
    <w:rsid w:val="002E3447"/>
    <w:rsid w:val="003157F2"/>
    <w:rsid w:val="003B553B"/>
    <w:rsid w:val="0041162F"/>
    <w:rsid w:val="0044250A"/>
    <w:rsid w:val="0049661E"/>
    <w:rsid w:val="004A167F"/>
    <w:rsid w:val="004F746D"/>
    <w:rsid w:val="005A1EED"/>
    <w:rsid w:val="005E0D95"/>
    <w:rsid w:val="006C13A7"/>
    <w:rsid w:val="006C6A15"/>
    <w:rsid w:val="00790D53"/>
    <w:rsid w:val="007A377C"/>
    <w:rsid w:val="007A495C"/>
    <w:rsid w:val="007C680F"/>
    <w:rsid w:val="008920F6"/>
    <w:rsid w:val="008A3A5B"/>
    <w:rsid w:val="00936019"/>
    <w:rsid w:val="0099528A"/>
    <w:rsid w:val="009F4CBC"/>
    <w:rsid w:val="00A22D71"/>
    <w:rsid w:val="00A93DED"/>
    <w:rsid w:val="00AA1D5D"/>
    <w:rsid w:val="00B41677"/>
    <w:rsid w:val="00C4405C"/>
    <w:rsid w:val="00C57835"/>
    <w:rsid w:val="00C627CF"/>
    <w:rsid w:val="00C947C0"/>
    <w:rsid w:val="00D83E05"/>
    <w:rsid w:val="00D97F5A"/>
    <w:rsid w:val="00DF7FCC"/>
    <w:rsid w:val="00E62901"/>
    <w:rsid w:val="00E752FA"/>
    <w:rsid w:val="00EA3E52"/>
    <w:rsid w:val="00EB2D88"/>
    <w:rsid w:val="00F9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C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3C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A1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A1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1D5D"/>
  </w:style>
  <w:style w:type="table" w:styleId="a3">
    <w:name w:val="Table Grid"/>
    <w:basedOn w:val="a1"/>
    <w:uiPriority w:val="39"/>
    <w:rsid w:val="00EA3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A3E52"/>
    <w:rPr>
      <w:i/>
      <w:iCs/>
      <w:color w:val="404040" w:themeColor="text1" w:themeTint="BF"/>
    </w:rPr>
  </w:style>
  <w:style w:type="table" w:customStyle="1" w:styleId="113">
    <w:name w:val="Сетка таблицы113"/>
    <w:basedOn w:val="a1"/>
    <w:uiPriority w:val="59"/>
    <w:rsid w:val="00EA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3C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A1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AA1D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1D5D"/>
  </w:style>
  <w:style w:type="table" w:styleId="a3">
    <w:name w:val="Table Grid"/>
    <w:basedOn w:val="a1"/>
    <w:uiPriority w:val="39"/>
    <w:rsid w:val="00EA3E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EA3E52"/>
    <w:rPr>
      <w:i/>
      <w:iCs/>
      <w:color w:val="404040" w:themeColor="text1" w:themeTint="BF"/>
    </w:rPr>
  </w:style>
  <w:style w:type="table" w:customStyle="1" w:styleId="113">
    <w:name w:val="Сетка таблицы113"/>
    <w:basedOn w:val="a1"/>
    <w:uiPriority w:val="59"/>
    <w:rsid w:val="00EA3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C98E6-B904-4094-B9C0-8C03B429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 IP</dc:creator>
  <cp:keywords/>
  <dc:description/>
  <cp:lastModifiedBy>Пользователь</cp:lastModifiedBy>
  <cp:revision>43</cp:revision>
  <dcterms:created xsi:type="dcterms:W3CDTF">2022-02-23T05:45:00Z</dcterms:created>
  <dcterms:modified xsi:type="dcterms:W3CDTF">2024-06-24T16:25:00Z</dcterms:modified>
</cp:coreProperties>
</file>