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C8" w:rsidRDefault="00067AC8" w:rsidP="00067AC8">
      <w:pPr>
        <w:jc w:val="right"/>
      </w:pPr>
      <w:r>
        <w:t xml:space="preserve">Приложение 2 </w:t>
      </w:r>
    </w:p>
    <w:p w:rsidR="00232DF0" w:rsidRDefault="00067AC8" w:rsidP="00067AC8">
      <w:pPr>
        <w:jc w:val="right"/>
      </w:pPr>
      <w:r>
        <w:t>к Конкурсной документации</w:t>
      </w:r>
    </w:p>
    <w:p w:rsidR="00067AC8" w:rsidRDefault="00067AC8" w:rsidP="00067AC8">
      <w:pPr>
        <w:jc w:val="center"/>
      </w:pPr>
    </w:p>
    <w:p w:rsidR="00067AC8" w:rsidRDefault="00067AC8" w:rsidP="00067AC8">
      <w:pPr>
        <w:jc w:val="center"/>
      </w:pPr>
      <w:r>
        <w:t>Техническая спецификация закупаемых работ, не связанных со строительством (заполняется заказчиком)</w:t>
      </w:r>
    </w:p>
    <w:p w:rsidR="00067AC8" w:rsidRDefault="00067AC8" w:rsidP="00067AC8">
      <w:pPr>
        <w:jc w:val="center"/>
      </w:pPr>
    </w:p>
    <w:p w:rsidR="00067AC8" w:rsidRDefault="00067AC8" w:rsidP="00067AC8">
      <w:r>
        <w:t xml:space="preserve">Наименование заказчика: Государственное учреждение "Отдел </w:t>
      </w:r>
      <w:proofErr w:type="spellStart"/>
      <w:r>
        <w:t>жилищно</w:t>
      </w:r>
      <w:proofErr w:type="spellEnd"/>
      <w:r w:rsidR="004F34CD">
        <w:rPr>
          <w:lang w:val="kk-KZ"/>
        </w:rPr>
        <w:t>-</w:t>
      </w:r>
      <w:r>
        <w:t xml:space="preserve">коммунального хозяйства города </w:t>
      </w:r>
      <w:proofErr w:type="spellStart"/>
      <w:r>
        <w:t>Жезказган</w:t>
      </w:r>
      <w:proofErr w:type="spellEnd"/>
      <w:r>
        <w:t xml:space="preserve">" </w:t>
      </w:r>
    </w:p>
    <w:p w:rsidR="00067AC8" w:rsidRDefault="00067AC8" w:rsidP="00067AC8">
      <w:r>
        <w:t xml:space="preserve">Наименование организатора: Государственное учреждение "Отдел </w:t>
      </w:r>
      <w:proofErr w:type="spellStart"/>
      <w:r>
        <w:t>жилищно</w:t>
      </w:r>
      <w:proofErr w:type="spellEnd"/>
      <w:r w:rsidR="004F34CD">
        <w:rPr>
          <w:lang w:val="kk-KZ"/>
        </w:rPr>
        <w:t>-</w:t>
      </w:r>
      <w:r>
        <w:t>коммунального хозяйства</w:t>
      </w:r>
      <w:r>
        <w:rPr>
          <w:lang w:val="kk-KZ"/>
        </w:rPr>
        <w:t xml:space="preserve"> </w:t>
      </w:r>
      <w:r>
        <w:t xml:space="preserve">города </w:t>
      </w:r>
      <w:proofErr w:type="spellStart"/>
      <w:r>
        <w:t>Жезказгана</w:t>
      </w:r>
      <w:proofErr w:type="spellEnd"/>
      <w:r>
        <w:t>"</w:t>
      </w:r>
    </w:p>
    <w:p w:rsidR="00067AC8" w:rsidRDefault="00067AC8" w:rsidP="00067AC8">
      <w:r>
        <w:t xml:space="preserve"> № конкурса </w:t>
      </w:r>
    </w:p>
    <w:p w:rsidR="00067AC8" w:rsidRDefault="00067AC8" w:rsidP="00067AC8">
      <w:r>
        <w:t>Наименование к</w:t>
      </w:r>
      <w:r w:rsidR="004F34CD">
        <w:t>онкурса: Захоронение безродных 28</w:t>
      </w:r>
      <w:r>
        <w:t xml:space="preserve"> </w:t>
      </w:r>
      <w:proofErr w:type="gramStart"/>
      <w:r>
        <w:t>чел</w:t>
      </w:r>
      <w:proofErr w:type="gramEnd"/>
      <w:r>
        <w:t>*</w:t>
      </w:r>
      <w:r w:rsidR="004F34CD">
        <w:rPr>
          <w:lang w:val="kk-KZ"/>
        </w:rPr>
        <w:t>5</w:t>
      </w:r>
      <w:r>
        <w:t xml:space="preserve">0000) </w:t>
      </w:r>
    </w:p>
    <w:p w:rsidR="00067AC8" w:rsidRDefault="00067AC8" w:rsidP="00067AC8">
      <w:r>
        <w:t>Наименование лота: Услуги по содержанию мест захоронений/погребе</w:t>
      </w:r>
      <w:r>
        <w:rPr>
          <w:lang w:val="kk-KZ"/>
        </w:rPr>
        <w:t>нию</w:t>
      </w:r>
      <w:r>
        <w:t xml:space="preserve"> безродных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67AC8" w:rsidTr="00067AC8">
        <w:tc>
          <w:tcPr>
            <w:tcW w:w="4957" w:type="dxa"/>
          </w:tcPr>
          <w:p w:rsidR="00067AC8" w:rsidRDefault="00067AC8" w:rsidP="00067AC8">
            <w:r>
              <w:t>Наименование работы*</w:t>
            </w:r>
          </w:p>
        </w:tc>
        <w:tc>
          <w:tcPr>
            <w:tcW w:w="4388" w:type="dxa"/>
          </w:tcPr>
          <w:p w:rsidR="00067AC8" w:rsidRDefault="000A4DD6" w:rsidP="000A4DD6">
            <w:r>
              <w:rPr>
                <w:rFonts w:ascii="Times New Roman" w:hAnsi="Times New Roman" w:cs="Times New Roman"/>
              </w:rPr>
              <w:t>Захоронение безродных (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чел*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0000)</w:t>
            </w:r>
          </w:p>
        </w:tc>
      </w:tr>
      <w:tr w:rsidR="00067AC8" w:rsidTr="00067AC8">
        <w:tc>
          <w:tcPr>
            <w:tcW w:w="4957" w:type="dxa"/>
          </w:tcPr>
          <w:p w:rsidR="00067AC8" w:rsidRDefault="00067AC8" w:rsidP="00067AC8">
            <w:r>
              <w:t>Единица измерения*</w:t>
            </w:r>
          </w:p>
        </w:tc>
        <w:tc>
          <w:tcPr>
            <w:tcW w:w="4388" w:type="dxa"/>
          </w:tcPr>
          <w:p w:rsidR="00067AC8" w:rsidRDefault="000A4DD6" w:rsidP="00067AC8"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067AC8" w:rsidTr="00067AC8">
        <w:tc>
          <w:tcPr>
            <w:tcW w:w="4957" w:type="dxa"/>
          </w:tcPr>
          <w:p w:rsidR="00067AC8" w:rsidRDefault="00067AC8" w:rsidP="00067AC8">
            <w:r>
              <w:t>Количество (объем)*</w:t>
            </w:r>
          </w:p>
        </w:tc>
        <w:tc>
          <w:tcPr>
            <w:tcW w:w="4388" w:type="dxa"/>
          </w:tcPr>
          <w:p w:rsidR="00067AC8" w:rsidRPr="000A4DD6" w:rsidRDefault="000A4DD6" w:rsidP="00067A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7AC8" w:rsidTr="00067AC8">
        <w:tc>
          <w:tcPr>
            <w:tcW w:w="4957" w:type="dxa"/>
          </w:tcPr>
          <w:p w:rsidR="00067AC8" w:rsidRDefault="00067AC8" w:rsidP="00067AC8">
            <w:r>
              <w:t>Цена за единицу, без учета налога на добавленную стоимость*</w:t>
            </w:r>
          </w:p>
        </w:tc>
        <w:tc>
          <w:tcPr>
            <w:tcW w:w="4388" w:type="dxa"/>
          </w:tcPr>
          <w:p w:rsidR="00067AC8" w:rsidRPr="000A4DD6" w:rsidRDefault="000A4DD6" w:rsidP="00067AC8">
            <w:pPr>
              <w:rPr>
                <w:lang w:val="en-US"/>
              </w:rPr>
            </w:pPr>
            <w:r>
              <w:rPr>
                <w:lang w:val="en-US"/>
              </w:rPr>
              <w:t>1 250 000</w:t>
            </w:r>
            <w:bookmarkStart w:id="0" w:name="_GoBack"/>
            <w:bookmarkEnd w:id="0"/>
          </w:p>
        </w:tc>
      </w:tr>
      <w:tr w:rsidR="00067AC8" w:rsidTr="00067AC8">
        <w:tc>
          <w:tcPr>
            <w:tcW w:w="4957" w:type="dxa"/>
          </w:tcPr>
          <w:p w:rsidR="00067AC8" w:rsidRDefault="00067AC8" w:rsidP="00067AC8">
            <w: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4388" w:type="dxa"/>
          </w:tcPr>
          <w:p w:rsidR="00067AC8" w:rsidRDefault="000A4DD6" w:rsidP="00067AC8">
            <w:r>
              <w:rPr>
                <w:lang w:val="en-US"/>
              </w:rPr>
              <w:t>1 250 000</w:t>
            </w:r>
          </w:p>
        </w:tc>
      </w:tr>
      <w:tr w:rsidR="00067AC8" w:rsidTr="00067AC8">
        <w:tc>
          <w:tcPr>
            <w:tcW w:w="4957" w:type="dxa"/>
          </w:tcPr>
          <w:p w:rsidR="00067AC8" w:rsidRDefault="00067AC8" w:rsidP="00067AC8">
            <w:r>
              <w:t>Срок выполнения работы*</w:t>
            </w:r>
          </w:p>
        </w:tc>
        <w:tc>
          <w:tcPr>
            <w:tcW w:w="4388" w:type="dxa"/>
          </w:tcPr>
          <w:p w:rsidR="00067AC8" w:rsidRDefault="000A4DD6" w:rsidP="000A4DD6">
            <w:r>
              <w:rPr>
                <w:rFonts w:ascii="Times New Roman" w:hAnsi="Times New Roman" w:cs="Times New Roman"/>
              </w:rPr>
              <w:t>до 31 декабря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7AC8" w:rsidTr="00067AC8">
        <w:tc>
          <w:tcPr>
            <w:tcW w:w="4957" w:type="dxa"/>
          </w:tcPr>
          <w:p w:rsidR="00067AC8" w:rsidRDefault="00067AC8" w:rsidP="00067AC8">
            <w:r>
              <w:t>Место выполнения работы*</w:t>
            </w:r>
          </w:p>
        </w:tc>
        <w:tc>
          <w:tcPr>
            <w:tcW w:w="4388" w:type="dxa"/>
          </w:tcPr>
          <w:p w:rsidR="00067AC8" w:rsidRDefault="000A4DD6" w:rsidP="00067AC8">
            <w:r>
              <w:rPr>
                <w:rFonts w:ascii="Times New Roman" w:hAnsi="Times New Roman" w:cs="Times New Roman"/>
              </w:rPr>
              <w:t>г.Жезказган</w:t>
            </w:r>
          </w:p>
        </w:tc>
      </w:tr>
      <w:tr w:rsidR="00067AC8" w:rsidTr="00067AC8">
        <w:tc>
          <w:tcPr>
            <w:tcW w:w="4957" w:type="dxa"/>
          </w:tcPr>
          <w:p w:rsidR="00067AC8" w:rsidRPr="00067AC8" w:rsidRDefault="00067AC8" w:rsidP="00067AC8">
            <w:pPr>
              <w:rPr>
                <w:b/>
              </w:rPr>
            </w:pPr>
            <w:r>
              <w:t>Размер авансового платежа*</w:t>
            </w:r>
          </w:p>
        </w:tc>
        <w:tc>
          <w:tcPr>
            <w:tcW w:w="4388" w:type="dxa"/>
          </w:tcPr>
          <w:p w:rsidR="00067AC8" w:rsidRPr="000A4DD6" w:rsidRDefault="000A4DD6" w:rsidP="00067AC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7AC8" w:rsidTr="00067AC8">
        <w:tc>
          <w:tcPr>
            <w:tcW w:w="4957" w:type="dxa"/>
          </w:tcPr>
          <w:p w:rsidR="00067AC8" w:rsidRDefault="000A4DD6" w:rsidP="00067AC8">
            <w:r>
              <w:rPr>
                <w:rFonts w:ascii="Times New Roman" w:hAnsi="Times New Roman" w:cs="Times New Roman"/>
              </w:rPr>
              <w:t>Гарантийный срок (в месяцах)</w:t>
            </w:r>
          </w:p>
        </w:tc>
        <w:tc>
          <w:tcPr>
            <w:tcW w:w="4388" w:type="dxa"/>
          </w:tcPr>
          <w:p w:rsidR="00067AC8" w:rsidRPr="000A4DD6" w:rsidRDefault="000A4DD6" w:rsidP="00067AC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7AC8" w:rsidTr="00067AC8">
        <w:tc>
          <w:tcPr>
            <w:tcW w:w="4957" w:type="dxa"/>
          </w:tcPr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требуемых характеристик,</w:t>
            </w:r>
          </w:p>
          <w:p w:rsidR="00067AC8" w:rsidRDefault="000A4DD6" w:rsidP="000A4DD6">
            <w:r>
              <w:rPr>
                <w:rFonts w:ascii="Times New Roman" w:hAnsi="Times New Roman" w:cs="Times New Roman"/>
              </w:rPr>
              <w:t>параметров и иных исходных данных</w:t>
            </w:r>
          </w:p>
        </w:tc>
        <w:tc>
          <w:tcPr>
            <w:tcW w:w="4388" w:type="dxa"/>
          </w:tcPr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Захоронение </w:t>
            </w:r>
            <w:r w:rsidRPr="004F34C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человек. Механизированная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(копания могилы), изготовление гроба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древесных </w:t>
            </w:r>
            <w:proofErr w:type="gramStart"/>
            <w:r>
              <w:rPr>
                <w:rFonts w:ascii="Times New Roman" w:hAnsi="Times New Roman" w:cs="Times New Roman"/>
              </w:rPr>
              <w:t>материалов ,обертывание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трупов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тканью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перевозка на </w:t>
            </w:r>
            <w:proofErr w:type="spellStart"/>
            <w:r>
              <w:rPr>
                <w:rFonts w:ascii="Times New Roman" w:hAnsi="Times New Roman" w:cs="Times New Roman"/>
              </w:rPr>
              <w:t>сиецтранспорге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морга к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месту </w:t>
            </w:r>
            <w:proofErr w:type="gramStart"/>
            <w:r>
              <w:rPr>
                <w:rFonts w:ascii="Times New Roman" w:hAnsi="Times New Roman" w:cs="Times New Roman"/>
              </w:rPr>
              <w:t>захоронение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засыпка могилы грунтом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формированием надмогильного </w:t>
            </w:r>
            <w:proofErr w:type="gramStart"/>
            <w:r>
              <w:rPr>
                <w:rFonts w:ascii="Times New Roman" w:hAnsi="Times New Roman" w:cs="Times New Roman"/>
              </w:rPr>
              <w:t>холма ,</w:t>
            </w:r>
            <w:proofErr w:type="gramEnd"/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таблички с информацией</w:t>
            </w:r>
          </w:p>
          <w:p w:rsidR="00067AC8" w:rsidRDefault="000A4DD6" w:rsidP="000A4DD6">
            <w:r>
              <w:rPr>
                <w:rFonts w:ascii="Times New Roman" w:hAnsi="Times New Roman" w:cs="Times New Roman"/>
              </w:rPr>
              <w:t>захороненного , уборка места захоронения.</w:t>
            </w:r>
          </w:p>
        </w:tc>
      </w:tr>
      <w:tr w:rsidR="00067AC8" w:rsidTr="00067AC8">
        <w:tc>
          <w:tcPr>
            <w:tcW w:w="4957" w:type="dxa"/>
          </w:tcPr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к потенциальному поставщику в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 определения его победителем и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с ним договора о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государственных закупках (указываются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необходимости) (Отклонение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потенциального поставщика за не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указание и непредставление указанных</w:t>
            </w:r>
          </w:p>
          <w:p w:rsidR="00067AC8" w:rsidRDefault="000A4DD6" w:rsidP="000A4DD6">
            <w:r>
              <w:rPr>
                <w:rFonts w:ascii="Times New Roman" w:hAnsi="Times New Roman" w:cs="Times New Roman"/>
              </w:rPr>
              <w:t>сведений не допускается)</w:t>
            </w:r>
          </w:p>
        </w:tc>
        <w:tc>
          <w:tcPr>
            <w:tcW w:w="4388" w:type="dxa"/>
          </w:tcPr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2-х экземплярах;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выполненных работ согласно графику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работ в 2-х экземплярах;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 письменный и фото - отчет о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проделанной работе.</w:t>
            </w:r>
          </w:p>
          <w:p w:rsid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предоставить транспорт для проверки</w:t>
            </w:r>
          </w:p>
          <w:p w:rsidR="00067AC8" w:rsidRDefault="000A4DD6" w:rsidP="000A4DD6">
            <w:r>
              <w:rPr>
                <w:rFonts w:ascii="Times New Roman" w:hAnsi="Times New Roman" w:cs="Times New Roman"/>
              </w:rPr>
              <w:t>исполненных работ по требованию заказчика.</w:t>
            </w:r>
          </w:p>
        </w:tc>
      </w:tr>
    </w:tbl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сведения подтягиваются из плана государственных закупок (отображаются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автоматически).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Каждые требуемые характеристики, параметры, исходные данные и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условия указываются отдельной строкой.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Установление в технической спецификации квалификационных требований,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предъявляемых к потенциальному поставщику, не допускается.</w:t>
      </w:r>
    </w:p>
    <w:p w:rsid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Установление требований технической спецификации в иных документах не</w:t>
      </w:r>
    </w:p>
    <w:p w:rsidR="00067AC8" w:rsidRDefault="000A4DD6" w:rsidP="000A4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допускается.</w:t>
      </w: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Default="000A4DD6" w:rsidP="000A4DD6">
      <w:pPr>
        <w:rPr>
          <w:rFonts w:ascii="Times New Roman" w:hAnsi="Times New Roman" w:cs="Times New Roman"/>
        </w:rPr>
      </w:pPr>
    </w:p>
    <w:p w:rsidR="000A4DD6" w:rsidRPr="000A4DD6" w:rsidRDefault="000A4DD6" w:rsidP="000A4D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Қ</w:t>
      </w:r>
      <w:proofErr w:type="spellStart"/>
      <w:r w:rsidRPr="000A4DD6">
        <w:rPr>
          <w:rFonts w:ascii="Times New Roman" w:hAnsi="Times New Roman" w:cs="Times New Roman"/>
        </w:rPr>
        <w:t>осымша</w:t>
      </w:r>
      <w:proofErr w:type="spellEnd"/>
      <w:r w:rsidRPr="000A4DD6">
        <w:rPr>
          <w:rFonts w:ascii="Times New Roman" w:hAnsi="Times New Roman" w:cs="Times New Roman"/>
        </w:rPr>
        <w:t xml:space="preserve"> 2-2</w:t>
      </w:r>
    </w:p>
    <w:p w:rsidR="000A4DD6" w:rsidRDefault="000A4DD6" w:rsidP="000A4DD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Конкурстық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құжаттамағ</w:t>
      </w:r>
      <w:r w:rsidRPr="000A4DD6">
        <w:rPr>
          <w:rFonts w:ascii="Times New Roman" w:hAnsi="Times New Roman" w:cs="Times New Roman"/>
        </w:rPr>
        <w:t>а</w:t>
      </w:r>
      <w:proofErr w:type="spellEnd"/>
    </w:p>
    <w:p w:rsidR="000A4DD6" w:rsidRDefault="000A4DD6" w:rsidP="000A4DD6">
      <w:pPr>
        <w:pStyle w:val="Default"/>
      </w:pPr>
    </w:p>
    <w:p w:rsidR="000A4DD6" w:rsidRDefault="000A4DD6" w:rsidP="000A4DD6">
      <w:pPr>
        <w:pStyle w:val="Default"/>
      </w:pPr>
      <w:r>
        <w:t xml:space="preserve"> </w:t>
      </w:r>
    </w:p>
    <w:p w:rsidR="000A4DD6" w:rsidRDefault="000A4DD6" w:rsidP="000A4DD6">
      <w:pPr>
        <w:pStyle w:val="Defaul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>
        <w:rPr>
          <w:b/>
          <w:bCs/>
          <w:sz w:val="22"/>
          <w:szCs w:val="22"/>
        </w:rPr>
        <w:t>Тапсырыс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берушінің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атауы</w:t>
      </w:r>
      <w:proofErr w:type="spellEnd"/>
      <w:proofErr w:type="gramEnd"/>
      <w:r>
        <w:rPr>
          <w:b/>
          <w:bCs/>
          <w:sz w:val="22"/>
          <w:szCs w:val="22"/>
        </w:rPr>
        <w:t xml:space="preserve">: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"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Жезқазған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қаласының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тұрғын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үй-коммуналдық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шаруашылық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бөлімі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"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мекемесі</w:t>
      </w:r>
      <w:proofErr w:type="spellEnd"/>
    </w:p>
    <w:p w:rsidR="000A4DD6" w:rsidRPr="000A4DD6" w:rsidRDefault="000A4DD6" w:rsidP="000A4DD6">
      <w:pPr>
        <w:pStyle w:val="Defaul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b/>
          <w:bCs/>
          <w:sz w:val="22"/>
          <w:szCs w:val="22"/>
        </w:rPr>
        <w:t>¥</w:t>
      </w:r>
      <w:proofErr w:type="spellStart"/>
      <w:r>
        <w:rPr>
          <w:b/>
          <w:bCs/>
          <w:sz w:val="22"/>
          <w:szCs w:val="22"/>
        </w:rPr>
        <w:t>йымдастырушының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атауы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"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"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Жезқазған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қаласының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тұрғын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үй-коммуналдық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шаруашылық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бөлімі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"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мекемесі</w:t>
      </w:r>
      <w:proofErr w:type="spellEnd"/>
    </w:p>
    <w:p w:rsidR="000A4DD6" w:rsidRDefault="000A4DD6" w:rsidP="000A4DD6">
      <w:pPr>
        <w:pStyle w:val="Defaul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>
        <w:rPr>
          <w:b/>
          <w:bCs/>
          <w:sz w:val="22"/>
          <w:szCs w:val="22"/>
        </w:rPr>
        <w:t>Конкурстың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атауы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Туысы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жоқ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адамдарды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жерлеу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kk-KZ"/>
        </w:rPr>
        <w:t>28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адам</w:t>
      </w:r>
      <w:proofErr w:type="spellEnd"/>
      <w:r>
        <w:rPr>
          <w:sz w:val="22"/>
          <w:szCs w:val="22"/>
        </w:rPr>
        <w:t>*</w:t>
      </w:r>
      <w:r>
        <w:rPr>
          <w:sz w:val="22"/>
          <w:szCs w:val="22"/>
          <w:lang w:val="kk-KZ"/>
        </w:rPr>
        <w:t>5</w:t>
      </w:r>
      <w:r>
        <w:rPr>
          <w:sz w:val="22"/>
          <w:szCs w:val="22"/>
        </w:rPr>
        <w:t>0000)</w:t>
      </w:r>
    </w:p>
    <w:p w:rsidR="000A4DD6" w:rsidRDefault="000A4DD6" w:rsidP="000A4DD6">
      <w:pPr>
        <w:pStyle w:val="Defaul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0A4DD6" w:rsidRDefault="000A4DD6" w:rsidP="000A4DD6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A4DD6" w:rsidTr="000A4DD6">
        <w:trPr>
          <w:trHeight w:val="245"/>
        </w:trPr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7"/>
            </w:tblGrid>
            <w:tr w:rsidR="000A4DD6" w:rsidRPr="000A4DD6">
              <w:trPr>
                <w:trHeight w:val="147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Жумыстьң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атауы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2"/>
            </w:tblGrid>
            <w:tr w:rsidR="000A4DD6" w:rsidRPr="000A4DD6">
              <w:trPr>
                <w:trHeight w:val="148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Туысы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жоқ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адамдарды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жерлеу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28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адам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*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5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0000)</w:t>
                  </w:r>
                </w:p>
              </w:tc>
            </w:tr>
          </w:tbl>
          <w:p w:rsidR="000A4DD6" w:rsidRDefault="000A4DD6" w:rsidP="00EF6346"/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0"/>
            </w:tblGrid>
            <w:tr w:rsidR="000A4DD6" w:rsidRPr="000A4DD6">
              <w:trPr>
                <w:trHeight w:val="147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Ө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лшем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6ipлігі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EF634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3"/>
            </w:tblGrid>
            <w:tr w:rsidR="000A4DD6" w:rsidRPr="000A4DD6">
              <w:trPr>
                <w:trHeight w:val="148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Саны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көлемі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)*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EF63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0A4DD6" w:rsidRPr="000A4DD6">
              <w:trPr>
                <w:trHeight w:val="304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осылған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кун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салығын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есепке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алмагандағы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6ipлік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бағ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асы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EF6346">
            <w:pPr>
              <w:rPr>
                <w:lang w:val="en-US"/>
              </w:rPr>
            </w:pPr>
            <w:r>
              <w:rPr>
                <w:lang w:val="en-US"/>
              </w:rPr>
              <w:t>1 250 000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0A4DD6" w:rsidRPr="000A4DD6">
              <w:trPr>
                <w:trHeight w:val="304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осылған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кун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салығын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есепке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алмағанда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сатып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алу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ушін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белгілен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ген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жалпы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куны*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Default="000A4DD6" w:rsidP="00EF6346">
            <w:r>
              <w:rPr>
                <w:lang w:val="en-US"/>
              </w:rPr>
              <w:t>1 250 000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3"/>
            </w:tblGrid>
            <w:tr w:rsidR="000A4DD6" w:rsidRPr="000A4DD6">
              <w:trPr>
                <w:trHeight w:val="147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Жұмысты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орындау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мерзімі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</w:p>
              </w:tc>
            </w:tr>
          </w:tbl>
          <w:p w:rsidR="000A4DD6" w:rsidRPr="000A4DD6" w:rsidRDefault="000A4DD6" w:rsidP="00EF6346">
            <w:pPr>
              <w:rPr>
                <w:b/>
              </w:rPr>
            </w:pPr>
          </w:p>
        </w:tc>
        <w:tc>
          <w:tcPr>
            <w:tcW w:w="4388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8"/>
            </w:tblGrid>
            <w:tr w:rsidR="000A4DD6" w:rsidRPr="000A4DD6">
              <w:trPr>
                <w:trHeight w:val="148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жылдың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31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желтоқсанына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дейін</w:t>
                  </w:r>
                  <w:proofErr w:type="spellEnd"/>
                </w:p>
              </w:tc>
            </w:tr>
          </w:tbl>
          <w:p w:rsidR="000A4DD6" w:rsidRDefault="000A4DD6" w:rsidP="00EF6346"/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0A4DD6" w:rsidRPr="000A4DD6">
              <w:trPr>
                <w:trHeight w:val="148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Жұ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мысты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орындау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орны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EF634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Жезқазған қаласы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8"/>
            </w:tblGrid>
            <w:tr w:rsidR="000A4DD6" w:rsidRPr="000A4DD6">
              <w:trPr>
                <w:trHeight w:val="148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Аванстық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төлем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мөлшері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</w:p>
              </w:tc>
            </w:tr>
          </w:tbl>
          <w:p w:rsidR="000A4DD6" w:rsidRPr="00067AC8" w:rsidRDefault="000A4DD6" w:rsidP="00EF6346">
            <w:pPr>
              <w:rPr>
                <w:b/>
              </w:rPr>
            </w:pPr>
          </w:p>
        </w:tc>
        <w:tc>
          <w:tcPr>
            <w:tcW w:w="4388" w:type="dxa"/>
          </w:tcPr>
          <w:p w:rsidR="000A4DD6" w:rsidRPr="000A4DD6" w:rsidRDefault="000A4DD6" w:rsidP="00EF634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4"/>
            </w:tblGrid>
            <w:tr w:rsidR="000A4DD6" w:rsidRPr="000A4DD6">
              <w:trPr>
                <w:trHeight w:val="147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Кепілдік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мерзімі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айлармен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EF634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A4DD6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0A4DD6" w:rsidRPr="000A4DD6">
              <w:trPr>
                <w:trHeight w:val="467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Тал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ап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ілген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сипаттамалардың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параметрлердің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өзге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бастапқы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деректердің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сипаттамасы</w:t>
                  </w:r>
                  <w:proofErr w:type="spellEnd"/>
                </w:p>
              </w:tc>
            </w:tr>
          </w:tbl>
          <w:p w:rsidR="000A4DD6" w:rsidRDefault="000A4DD6" w:rsidP="00EF6346"/>
        </w:tc>
        <w:tc>
          <w:tcPr>
            <w:tcW w:w="4388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2"/>
            </w:tblGrid>
            <w:tr w:rsidR="000A4DD6" w:rsidRPr="000A4DD6">
              <w:trPr>
                <w:trHeight w:val="1139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4D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28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адам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ды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жерлеу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Механикаландырылган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өңдеу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a6ip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қазу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ағ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аш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материалдардан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табыт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дайындау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мэй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іттерді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шуберекпен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орау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мәйітханадан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мәйітханағ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дей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ін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тасымалдау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жерлеу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Қабірді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топыракпен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толтыру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қa6ip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устіндегі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төбені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калыптасты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ру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Ж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ерленген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адамның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ақ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парат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ы бар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тақ</w:t>
                  </w:r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тайшаны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орнату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жерленген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 xml:space="preserve"> жерд1 </w:t>
                  </w:r>
                  <w:proofErr w:type="spellStart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жинау</w:t>
                  </w:r>
                  <w:proofErr w:type="spellEnd"/>
                  <w:r w:rsidRPr="000A4DD6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0A4DD6" w:rsidRDefault="000A4DD6" w:rsidP="00EF6346"/>
        </w:tc>
      </w:tr>
      <w:tr w:rsidR="000A4DD6" w:rsidRPr="004F34CD" w:rsidTr="00EF6346">
        <w:tc>
          <w:tcPr>
            <w:tcW w:w="4957" w:type="dxa"/>
          </w:tcPr>
          <w:p w:rsidR="000A4DD6" w:rsidRPr="000A4DD6" w:rsidRDefault="000A4DD6" w:rsidP="000A4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0A4DD6" w:rsidRPr="000A4DD6">
              <w:trPr>
                <w:trHeight w:val="1264"/>
              </w:trPr>
              <w:tc>
                <w:tcPr>
                  <w:tcW w:w="0" w:type="auto"/>
                </w:tcPr>
                <w:p w:rsidR="000A4DD6" w:rsidRPr="000A4DD6" w:rsidRDefault="000A4DD6" w:rsidP="000A4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Әлеуетті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өнім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берушіге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жеңімпазы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анықталған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онымен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Мемлекеттік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сатып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алу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шарт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жасалған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жағдайда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қойылатын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талаптар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қажет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болған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көрсетіледі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(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әлеуетті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өнім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берушіні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көрсетілген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мәліметтерді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көрсетпегені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ұсынбағаны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қабылдамауға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жол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берілмейді</w:t>
                  </w:r>
                  <w:proofErr w:type="spellEnd"/>
                  <w:r w:rsidRPr="004933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0A4DD6" w:rsidRDefault="000A4DD6" w:rsidP="000A4DD6"/>
        </w:tc>
        <w:tc>
          <w:tcPr>
            <w:tcW w:w="4388" w:type="dxa"/>
          </w:tcPr>
          <w:p w:rsidR="000A4DD6" w:rsidRPr="00540B54" w:rsidRDefault="000A4DD6" w:rsidP="000A4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B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- 2 данада есеп;</w:t>
            </w:r>
          </w:p>
          <w:p w:rsidR="000A4DD6" w:rsidRPr="00540B54" w:rsidRDefault="000A4DD6" w:rsidP="000A4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B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жұмыс кестесіне сәйкес орындалған жұмыс актісі 2 данада;</w:t>
            </w:r>
          </w:p>
          <w:p w:rsidR="000A4DD6" w:rsidRPr="00540B54" w:rsidRDefault="000A4DD6" w:rsidP="000A4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B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күнделікті жазбаша және фотосурет - атқарылған жұмыстар туралы есеп беру.</w:t>
            </w:r>
          </w:p>
          <w:p w:rsidR="000A4DD6" w:rsidRPr="004933B2" w:rsidRDefault="000A4DD6" w:rsidP="000A4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B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тапсырыс берушінің талабы бойынша орындалған жұмыстарды тексеру үшін көлікті қамтамасыз ету</w:t>
            </w:r>
          </w:p>
        </w:tc>
      </w:tr>
    </w:tbl>
    <w:p w:rsidR="000A4DD6" w:rsidRP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0A4DD6" w:rsidRPr="000C2542" w:rsidRDefault="000A4DD6" w:rsidP="000A4DD6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40B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0C2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* мәліметтер мемлекеттік сатып алу жоспарынан алынады (автоматты түрде көрсетіледі).</w:t>
      </w:r>
    </w:p>
    <w:p w:rsidR="000A4DD6" w:rsidRPr="000C2542" w:rsidRDefault="000A4DD6" w:rsidP="000A4DD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2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Ескерту.</w:t>
      </w:r>
    </w:p>
    <w:p w:rsidR="000A4DD6" w:rsidRPr="000C2542" w:rsidRDefault="000A4DD6" w:rsidP="000A4DD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2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Әрбір талап етілетін сипаттамалар, параметрлер, бастапқы деректер және қосымша шарттар жеке жолда көрсетіледі.</w:t>
      </w:r>
    </w:p>
    <w:p w:rsidR="000A4DD6" w:rsidRPr="000C2542" w:rsidRDefault="000A4DD6" w:rsidP="000A4DD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2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Техникалық ерекшелікте әлеуетті өнім берушіге қойылатын біліктілік талаптарын белгілеуге жол берілмейді.</w:t>
      </w:r>
    </w:p>
    <w:p w:rsidR="000A4DD6" w:rsidRPr="000C2542" w:rsidRDefault="000A4DD6" w:rsidP="000A4DD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2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Өзге құжаттарда техникалық ерекшеліктің талаптарын белгілеуге жол берілмейді. </w:t>
      </w:r>
    </w:p>
    <w:p w:rsidR="000A4DD6" w:rsidRPr="000C2542" w:rsidRDefault="000A4DD6" w:rsidP="000A4DD6">
      <w:pPr>
        <w:rPr>
          <w:lang w:val="kk-KZ"/>
        </w:rPr>
      </w:pPr>
    </w:p>
    <w:p w:rsidR="000A4DD6" w:rsidRPr="000C2542" w:rsidRDefault="000A4DD6" w:rsidP="000A4DD6">
      <w:pPr>
        <w:rPr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Pr="000A4DD6" w:rsidRDefault="000A4DD6" w:rsidP="000A4DD6">
      <w:pPr>
        <w:rPr>
          <w:rFonts w:ascii="Times New Roman" w:hAnsi="Times New Roman" w:cs="Times New Roman"/>
          <w:lang w:val="kk-KZ"/>
        </w:rPr>
      </w:pPr>
    </w:p>
    <w:p w:rsidR="000A4DD6" w:rsidRDefault="000A4DD6" w:rsidP="000A4DD6">
      <w:r>
        <w:rPr>
          <w:rFonts w:ascii="Times New Roman" w:hAnsi="Times New Roman" w:cs="Times New Roman"/>
        </w:rPr>
        <w:t>.</w:t>
      </w:r>
    </w:p>
    <w:sectPr w:rsidR="000A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CC"/>
    <w:rsid w:val="00067AC8"/>
    <w:rsid w:val="000A4DD6"/>
    <w:rsid w:val="00232DF0"/>
    <w:rsid w:val="004F34CD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114A"/>
  <w15:chartTrackingRefBased/>
  <w15:docId w15:val="{D6DC94B6-4F66-4A4C-9245-787BB06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2024-06-12T12:16:00Z</dcterms:created>
  <dcterms:modified xsi:type="dcterms:W3CDTF">2024-06-14T06:58:00Z</dcterms:modified>
</cp:coreProperties>
</file>