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DF" w:rsidRDefault="001A2C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ТЕХНИ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t>КАЛЫҚ СИПАТТАМА</w:t>
      </w:r>
    </w:p>
    <w:p w:rsidR="00D66CDF" w:rsidRDefault="001A2CD0">
      <w:pPr>
        <w:pStyle w:val="Default"/>
        <w:ind w:left="709" w:right="1133"/>
        <w:jc w:val="center"/>
        <w:rPr>
          <w:color w:val="000000" w:themeColor="text1"/>
          <w:sz w:val="26"/>
          <w:szCs w:val="26"/>
          <w:lang w:val="kk-KZ"/>
        </w:rPr>
      </w:pPr>
      <w:r>
        <w:rPr>
          <w:color w:val="000000" w:themeColor="text1"/>
          <w:sz w:val="26"/>
          <w:szCs w:val="26"/>
          <w:lang w:val="kk-KZ"/>
        </w:rPr>
        <w:t>Білім беруде қауіпсіз мектеп жобасы негізінде есепке алу және бақылау ААЖ электрондық жүйесіне қолжетімділікті қамтамасыз ету</w:t>
      </w:r>
    </w:p>
    <w:p w:rsidR="00D66CDF" w:rsidRDefault="001A2CD0">
      <w:pPr>
        <w:pStyle w:val="ab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t>Қызметтің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t xml:space="preserve"> сипаттамасы</w:t>
      </w:r>
    </w:p>
    <w:p w:rsidR="00D66CDF" w:rsidRDefault="001A2CD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Білім беру платформасы негізінде есепке алу және бақылау үшін «Қауіпсіз мектеп»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электрондық жүйесіне автоматтандырылған ақпараттық жүйеге (АИС) қолжетімділікті қамтамасыз ету авторизацияланған қолжетімділікті, жүйені қолдауды және техникалық қолдауды ұсынуды қамтиды.</w:t>
      </w:r>
    </w:p>
    <w:p w:rsidR="00D66CDF" w:rsidRDefault="001A2CD0">
      <w:pPr>
        <w:pStyle w:val="ab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Техника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t>лық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t>сипаттаманың мазмұны</w:t>
      </w:r>
    </w:p>
    <w:tbl>
      <w:tblPr>
        <w:tblStyle w:val="ac"/>
        <w:tblW w:w="967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396"/>
        <w:gridCol w:w="1275"/>
      </w:tblGrid>
      <w:tr w:rsidR="00D66CDF">
        <w:tc>
          <w:tcPr>
            <w:tcW w:w="8395" w:type="dxa"/>
          </w:tcPr>
          <w:p w:rsidR="00D66CDF" w:rsidRDefault="001A2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Қызметтің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 xml:space="preserve"> мазмұны, сипаты және көлем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і</w:t>
            </w:r>
          </w:p>
        </w:tc>
        <w:tc>
          <w:tcPr>
            <w:tcW w:w="1275" w:type="dxa"/>
          </w:tcPr>
          <w:p w:rsidR="00D66CDF" w:rsidRDefault="001A2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kk-KZ"/>
              </w:rPr>
              <w:t>Өлшем</w:t>
            </w:r>
          </w:p>
        </w:tc>
      </w:tr>
      <w:tr w:rsidR="00D66CDF">
        <w:tc>
          <w:tcPr>
            <w:tcW w:w="8395" w:type="dxa"/>
          </w:tcPr>
          <w:p w:rsidR="00D66CDF" w:rsidRDefault="001A2C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Автоматтандырылғ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ақпараттық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жүйеге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(АИС)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қолжетімділікті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қамтамасыз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ету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келесі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функционалдық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міндеттер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кешенін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толық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көлемде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сервистік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қызметтерді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орындауды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қамтиды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әкімшілігіне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регламент пен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кестеге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сәйкес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есеп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жүргізу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бақылау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электрондық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есептер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оқушылардың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персонал мен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педагогтардың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қатысу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тарихын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алу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үшін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виртуалды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кабинетке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дербес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басқару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бақылау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мақсатында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портал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ға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қолжетімділікті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қамтамасыз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ету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үйеге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кіру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логин мен ЭЦҚ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қолдану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арқылы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жүзеге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асырылады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Оқ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ушылар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білім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беру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үдерісінің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оқу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материалдарына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қол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жеткізуді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ғимаратына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кіруді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тамақтануды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есепке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алу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құралын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қамтамасыз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ететін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идентификациялық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карточкаларды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(ID-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карталарын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қолдау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қызмет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көрсету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бағдарламалық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жүйесімен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қамтамасыз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ету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Ата-а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налар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педагогтар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білім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беру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мекемесінің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оқушылары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үшін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платформа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мобильді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қосымшаларының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жұмысын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қамтамасыз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ету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ата-аналарды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кі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іп-шығу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асханасында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тамақтану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бағалар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туралы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push-хабарламалар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арқылы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хабардар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ету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Жаңадан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тіркелген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педагог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бі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інші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оқушылары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басқа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мектептерден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ауысып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келген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оқушылар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үшін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егер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олар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тіркелген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пайдаланушылар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деректер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базасында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болмаса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идентификациялық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ID-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карталардың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тегін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бастапқы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шығарылуы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берілуі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Әлеуметтік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осал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топтардан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шыққан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оқушыла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рғ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оқу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жылы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ішінде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екі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ретке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қайта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шығарумен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тегін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ID-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карталарды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қамтамасыз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ету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Бас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жағдайларда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Карталарды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қайта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шығару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жеткізу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құқығы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бөлек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ақы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үшін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Жеткізушінің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міндетіне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жүктеледі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Тапсырыс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берушіге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келісім-шарттың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бүкіл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мерзіміне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үздікс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із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тоқтаусыз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үзіліссіз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қолжетімділік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қызметін беруге міндеттеледі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t>Тараптар қ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ызмет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көрсету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регламенті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көлемі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өзгертуге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немесе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қысқартуға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сондай-ақ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жұмыстың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48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сағаттан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астам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кез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келген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техникалық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тоқ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тау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жол берілмейді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яғни,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есепке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алудың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максималды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үздіксіздігі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жүйелілігі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қамтамасыз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t>іл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уі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тиіс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Оқу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орны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аумағындағы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аппаратты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қ-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бағдарламалық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кешен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(АПК)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объектілерін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қолдау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келісім-шарт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жасалған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сәтте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қызмет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көрсету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тізіміне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енгізілген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құрылғылар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бойынша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толық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көлемде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жүзе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асырылады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қызмет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көрсетілетін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құрылғылар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тізімін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көлемін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өз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бетінше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немесе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біржақты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тәртіпте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өзгертуге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немесе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қысқ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арту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ға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жатпайды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Бі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ім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беру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платформасының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жергілікті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бұлтты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серверлері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арасындағы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АПК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өзара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әрекеттесу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трафигі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мен интернет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байланысын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бөлек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қамтамасыз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ету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апсырыс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берушінің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аумағында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орналасқан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құрылғыларды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профилактикалық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бақылап,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қызмет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көрсету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ге,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йына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бір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міндетті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жоспарлы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тексеру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жүргізуі тиіс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Тапсырыс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берушінің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өтініші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бойынша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айына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реттен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аспайтын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жоспардан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тыс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тексерулер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тегін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жүзеге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асырады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Құрылғылар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терминалдардың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жағдайы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туралы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Тапсырыс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берушіні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уа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қтылы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хабардар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ету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сондай-ақ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проблемаларды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жою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ықтимал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техникалық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апаттық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жағдайлардың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алдын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алу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бойынша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ұсыныстар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беру.</w:t>
            </w:r>
          </w:p>
          <w:p w:rsidR="001A2CD0" w:rsidRPr="001A2CD0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0" w:name="_GoBack"/>
            <w:proofErr w:type="spellStart"/>
            <w:r w:rsidRPr="001A2CD0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Құрылғылар</w:t>
            </w:r>
            <w:proofErr w:type="spellEnd"/>
            <w:r w:rsidRPr="001A2C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2CD0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мен</w:t>
            </w:r>
            <w:r w:rsidRPr="001A2C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2CD0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терминалдардың</w:t>
            </w:r>
            <w:proofErr w:type="spellEnd"/>
            <w:r w:rsidRPr="001A2C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2CD0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сынған</w:t>
            </w:r>
            <w:proofErr w:type="spellEnd"/>
            <w:r w:rsidRPr="001A2C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2CD0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бө</w:t>
            </w:r>
            <w:proofErr w:type="gramStart"/>
            <w:r w:rsidRPr="001A2CD0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1A2CD0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іктері</w:t>
            </w:r>
            <w:proofErr w:type="spellEnd"/>
            <w:r w:rsidRPr="001A2C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2CD0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мен</w:t>
            </w:r>
            <w:r w:rsidRPr="001A2C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2CD0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компоненттерін</w:t>
            </w:r>
            <w:proofErr w:type="spellEnd"/>
            <w:r w:rsidRPr="001A2C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2CD0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ауыстыру</w:t>
            </w:r>
            <w:proofErr w:type="spellEnd"/>
            <w:r w:rsidRPr="001A2C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2C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proofErr w:type="spellStart"/>
            <w:r w:rsidRPr="001A2CD0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еткізушінің</w:t>
            </w:r>
            <w:proofErr w:type="spellEnd"/>
            <w:r w:rsidRPr="001A2C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2CD0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есебінен</w:t>
            </w:r>
            <w:proofErr w:type="spellEnd"/>
            <w:r w:rsidRPr="001A2C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2CD0">
              <w:rPr>
                <w:rStyle w:val="ezkurwreuab5ozgtqnkl"/>
                <w:rFonts w:ascii="Times New Roman" w:hAnsi="Times New Roman" w:cs="Times New Roman"/>
                <w:sz w:val="26"/>
                <w:szCs w:val="26"/>
              </w:rPr>
              <w:t>жүргізіледі</w:t>
            </w:r>
            <w:proofErr w:type="spellEnd"/>
            <w:r w:rsidRPr="001A2CD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bookmarkEnd w:id="0"/>
          <w:p w:rsidR="00D66CDF" w:rsidRPr="001A2CD0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1A2CD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t>Тапсырыс берушіден сұраулар мен өтінімдерді қабылдау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және</w:t>
            </w:r>
            <w:r w:rsidRPr="001A2CD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тіркеу үшін тәулік бойы техникалық және жүйелік қолдау көрсету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t>ді ұйымдастыру</w:t>
            </w:r>
            <w:r w:rsidRPr="001A2CD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t>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псырыс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берушінің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сұрауы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бойынша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уақтылы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техникалық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жә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ақпараттық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қолдауды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ұйымдастыру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сондай-ақ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онлайн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форматта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кеңестер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мен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порталдың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жауапты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тағайындалған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қызметкерлері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үшін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мерзімді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оқытулар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ұйымдастыру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Пайдаланушылардың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жеке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деректерінің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сақталуын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қорғалуын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қамтамасыз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ету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қолжетімділік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кезеңінде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АПК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бағдарламалық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қамтамасыз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етуд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ің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ақпараттық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киберқауіпсіздігін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сақтау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міндеттеледі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D66CDF" w:rsidRDefault="00D66CDF">
            <w:pPr>
              <w:pStyle w:val="ab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D66CDF" w:rsidRDefault="001A2C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kk-KZ"/>
              </w:rPr>
              <w:lastRenderedPageBreak/>
              <w:t>Қызмет</w:t>
            </w:r>
          </w:p>
        </w:tc>
      </w:tr>
    </w:tbl>
    <w:p w:rsidR="00D66CDF" w:rsidRDefault="00D66CD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66CDF" w:rsidRDefault="00D66CDF">
      <w:pP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D66CDF" w:rsidRDefault="00D66CDF">
      <w:pP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D66CDF" w:rsidRDefault="00D66CDF">
      <w:pP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D66CDF" w:rsidRDefault="00D66CDF">
      <w:pP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D66CDF" w:rsidRDefault="00D66CDF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D66CDF" w:rsidRDefault="00D66CDF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D66CDF" w:rsidRDefault="00D66CDF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D66CDF" w:rsidRDefault="00D66CDF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D66CDF" w:rsidRDefault="00D66CDF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D66CDF" w:rsidRDefault="00D66CDF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D66CDF" w:rsidRDefault="00D66CDF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D66CDF" w:rsidRDefault="001A2C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ТЕХНИЧЕСКАЯ СПЕЦИФИКАЦИЯ</w:t>
      </w:r>
    </w:p>
    <w:p w:rsidR="00D66CDF" w:rsidRDefault="001A2CD0">
      <w:pPr>
        <w:pStyle w:val="Default"/>
        <w:ind w:left="709" w:right="1133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Предоставление доступа к АИС электронная система по </w:t>
      </w:r>
      <w:r>
        <w:rPr>
          <w:color w:val="000000" w:themeColor="text1"/>
          <w:sz w:val="26"/>
          <w:szCs w:val="26"/>
        </w:rPr>
        <w:t>безопасной школе, учета и контроля на базе образовательной платформы</w:t>
      </w:r>
    </w:p>
    <w:p w:rsidR="00D66CDF" w:rsidRDefault="00D66CDF">
      <w:pPr>
        <w:pStyle w:val="Default"/>
        <w:ind w:left="709" w:right="1133"/>
        <w:jc w:val="center"/>
        <w:rPr>
          <w:color w:val="000000" w:themeColor="text1"/>
          <w:sz w:val="26"/>
          <w:szCs w:val="26"/>
        </w:rPr>
      </w:pPr>
    </w:p>
    <w:p w:rsidR="00D66CDF" w:rsidRDefault="001A2CD0">
      <w:pPr>
        <w:pStyle w:val="ab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Описание услуги</w:t>
      </w:r>
    </w:p>
    <w:p w:rsidR="00D66CDF" w:rsidRDefault="001A2CD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Предоставление доступа к АИС электронная система по безопасной школе, учета и контроля на базе образовательной платформы включает предоставление авторизованного доступа,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сопровождения и технической поддержки системы в период предоставления сервиса.</w:t>
      </w:r>
    </w:p>
    <w:p w:rsidR="00D66CDF" w:rsidRDefault="001A2CD0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Техническая характеристика услуги</w:t>
      </w:r>
    </w:p>
    <w:tbl>
      <w:tblPr>
        <w:tblStyle w:val="ac"/>
        <w:tblW w:w="967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396"/>
        <w:gridCol w:w="1275"/>
      </w:tblGrid>
      <w:tr w:rsidR="00D66CDF">
        <w:tc>
          <w:tcPr>
            <w:tcW w:w="8395" w:type="dxa"/>
          </w:tcPr>
          <w:p w:rsidR="00D66CDF" w:rsidRDefault="001A2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Характеристика и объем оказываемых услуг</w:t>
            </w:r>
          </w:p>
        </w:tc>
        <w:tc>
          <w:tcPr>
            <w:tcW w:w="1275" w:type="dxa"/>
          </w:tcPr>
          <w:p w:rsidR="00D66CDF" w:rsidRDefault="001A2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Единица</w:t>
            </w:r>
          </w:p>
        </w:tc>
      </w:tr>
      <w:tr w:rsidR="00D66CDF">
        <w:tc>
          <w:tcPr>
            <w:tcW w:w="8395" w:type="dxa"/>
          </w:tcPr>
          <w:p w:rsidR="00D66CDF" w:rsidRDefault="001A2C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Предоставление доступа к автоматизированной информационной системе (АИС) включает комплекс сл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едующих функциональных обязанностей и выполнения сервисных услуг в полном объеме: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Предоставление администрации школы доступа к виртуальному кабинету портала для самостоятельного управления и контроля, мониторинга учета, а также получения электронных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отчетов и историй посещений школьников, персонала и педагогов согласно регламенту и расписанию. Доступ в систему осуществляется через авторизацию с использованием логина и ЭЦП.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программной системой поддержки и обслуживания идентификационных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карточек (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ID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-карты) для учеников, обеспечивающих доступ к учебным материалам образовательного процесса, пропу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 в зд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ание школы и являющихся средством учета за питание.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работы мобильных приложений платформы для родителей, педагогов и учащихся об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разовательного учреждения, информирование родителей через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push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-уведомлений входа и выхода, получения питания в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школьном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столовое, а также, оценок.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Бесплатный первичный выпуск и предоставление идентификационных ID-карт для вновь зарегистрированных педагогов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первоклассников и переведенных из других школ учащихся, если они отсутствуют в базе данных зарегистрированных пользователей.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бесплатными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ID-картами учащихся из социально уязвимых слоев населения с возможностью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перевыпуска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двух раз в течени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учебного года. В остальных случаях Поставщик оставляет за собой право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перевыпуска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доставки карт за отдельную плату.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Доступ Заказчику предоставляется на весь период действия договора без перерывов, простоев и пауз. Регламент и объем обслуживания не подл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ежат изменению или сокращению, а также исключены любые технические остановки работы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более 48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часов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, что должно обеспечивать максимальную непрерывность и системность учета.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Сопровождение на территории учебного заведения объектов аппаратно-программного ко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мплекса (АПК) осуществляется в полном объеме по устройствам, входящих в перечень обслуживания на момент заключения договора и не подлежит самостоятельному и/или в одностороннем порядке изменению и/или сокращению перечня и объем обслуживаемых устройств.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спечение отдельной связью интернета и трафика взаимодействия АПК между локальными и облачными серверами образовательной платформы.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(раз в месяц) обязательного планового осмотра и профилактики устройств на территории Заказчика.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 внеп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лановых выездных осмотров по заявке Заказчика, не более 4 раза в месяц – осуществляется бесплатно.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Своевременное уведомление Заказчика о состоянии устройств и терминалов, а также, предложение Заказчику рекомендаций по устранению проблем, а также, предотвра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щению возможных технических и аварийных случаев.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Замена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поломанных частей и компонентов устройств и терминалов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производится за счет Поставщика.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Обеспечение круглосуточной технической и системной поддержкой для приема, регистрации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и обработки запросов и заявок от Заказчика.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своевременной технической и информационной поддержки, а также, по запросам Заказчика, осуществление онлайн консультаций и периодических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учений для назначенного Заказчиком ответственного персонала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портала.</w:t>
            </w:r>
          </w:p>
          <w:p w:rsidR="00D66CDF" w:rsidRDefault="001A2CD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Обеспечение сохранность и защиту персональных данных пользователей, соблюдение информационной 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кибер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-безопасности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работы АПК и программного обеспечения в период предоставления доступа.</w:t>
            </w:r>
          </w:p>
          <w:p w:rsidR="00D66CDF" w:rsidRDefault="00D66CDF">
            <w:pPr>
              <w:pStyle w:val="ab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D66CDF" w:rsidRDefault="001A2C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Услуга </w:t>
            </w:r>
          </w:p>
        </w:tc>
      </w:tr>
    </w:tbl>
    <w:p w:rsidR="00D66CDF" w:rsidRDefault="00D66CD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D66CDF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57E6"/>
    <w:multiLevelType w:val="multilevel"/>
    <w:tmpl w:val="9D0E9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873B29"/>
    <w:multiLevelType w:val="multilevel"/>
    <w:tmpl w:val="8A8820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29B711DF"/>
    <w:multiLevelType w:val="multilevel"/>
    <w:tmpl w:val="9FDAFC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B57367A"/>
    <w:multiLevelType w:val="multilevel"/>
    <w:tmpl w:val="63C051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DF"/>
    <w:rsid w:val="001A2CD0"/>
    <w:rsid w:val="00D6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592E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9D7EC6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8330C7"/>
    <w:pPr>
      <w:ind w:left="720"/>
      <w:contextualSpacing/>
    </w:pPr>
  </w:style>
  <w:style w:type="paragraph" w:customStyle="1" w:styleId="Default">
    <w:name w:val="Default"/>
    <w:qFormat/>
    <w:rsid w:val="00C95DF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9D7EC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C95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1A2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592E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9D7EC6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8330C7"/>
    <w:pPr>
      <w:ind w:left="720"/>
      <w:contextualSpacing/>
    </w:pPr>
  </w:style>
  <w:style w:type="paragraph" w:customStyle="1" w:styleId="Default">
    <w:name w:val="Default"/>
    <w:qFormat/>
    <w:rsid w:val="00C95DF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9D7EC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C95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1A2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1164</Words>
  <Characters>6635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mediana</dc:creator>
  <dc:description/>
  <cp:lastModifiedBy>UsEr</cp:lastModifiedBy>
  <cp:revision>7</cp:revision>
  <cp:lastPrinted>2023-09-29T09:21:00Z</cp:lastPrinted>
  <dcterms:created xsi:type="dcterms:W3CDTF">2024-07-22T05:20:00Z</dcterms:created>
  <dcterms:modified xsi:type="dcterms:W3CDTF">2025-02-07T11:11:00Z</dcterms:modified>
  <dc:language>en-US</dc:language>
</cp:coreProperties>
</file>