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E0F1C" w14:textId="4C34ACDF" w:rsidR="00674471" w:rsidRPr="00674471" w:rsidRDefault="00733E72" w:rsidP="0067447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674471" w:rsidRPr="006744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Қосымша</w:t>
      </w:r>
    </w:p>
    <w:p w14:paraId="1B625A35" w14:textId="26E598A3" w:rsidR="00674471" w:rsidRPr="00674471" w:rsidRDefault="00674471" w:rsidP="0067447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72B6066" w14:textId="77777777" w:rsidR="00324B56" w:rsidRDefault="00324B56" w:rsidP="00324B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қпараттандыру</w:t>
      </w:r>
      <w:proofErr w:type="spellEnd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объектісіне</w:t>
      </w:r>
      <w:proofErr w:type="spellEnd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қол</w:t>
      </w:r>
      <w:proofErr w:type="spellEnd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жеткізу</w:t>
      </w:r>
      <w:proofErr w:type="spellEnd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жөніндегі</w:t>
      </w:r>
      <w:proofErr w:type="spellEnd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қызметтерді</w:t>
      </w:r>
      <w:proofErr w:type="spellEnd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61DE4EC" w14:textId="77777777" w:rsidR="00324B56" w:rsidRPr="00A57C99" w:rsidRDefault="00324B56" w:rsidP="00324B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сатып</w:t>
      </w:r>
      <w:proofErr w:type="spellEnd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алу</w:t>
      </w:r>
      <w:proofErr w:type="spellEnd"/>
      <w:r w:rsidRPr="00A57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50E11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03E41099" w14:textId="47AC571C" w:rsidR="00035A8D" w:rsidRPr="00035A8D" w:rsidRDefault="00324B56" w:rsidP="00324B56">
      <w:pPr>
        <w:pStyle w:val="ac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5A8D" w:rsidRPr="00035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035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Мемлекеттік</w:t>
      </w:r>
      <w:proofErr w:type="spellEnd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тұрғын</w:t>
      </w:r>
      <w:proofErr w:type="spellEnd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үй</w:t>
      </w:r>
      <w:proofErr w:type="spellEnd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қорынан</w:t>
      </w:r>
      <w:proofErr w:type="spellEnd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тұрғын</w:t>
      </w:r>
      <w:proofErr w:type="spellEnd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үйді</w:t>
      </w:r>
      <w:proofErr w:type="spellEnd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87924" w:rsidRPr="00E87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жекешелендіру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мемлекеттік</w:t>
      </w:r>
      <w:proofErr w:type="spellEnd"/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қызмет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автоматтандыру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жөніндегі</w:t>
      </w:r>
      <w:proofErr w:type="spellEnd"/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ақпараттық</w:t>
      </w:r>
      <w:proofErr w:type="spellEnd"/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24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сервисіне</w:t>
      </w:r>
      <w:proofErr w:type="spellEnd"/>
      <w:r w:rsidR="00035A8D" w:rsidRPr="00035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5F5D6F68" w14:textId="77777777" w:rsidR="00035A8D" w:rsidRPr="00035A8D" w:rsidRDefault="00035A8D" w:rsidP="00023B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7E0F8" w14:textId="77777777" w:rsidR="00324B56" w:rsidRPr="00D005F2" w:rsidRDefault="00324B56" w:rsidP="00324B56">
      <w:pPr>
        <w:spacing w:after="0" w:line="240" w:lineRule="auto"/>
        <w:ind w:firstLine="248"/>
        <w:rPr>
          <w:rFonts w:ascii="Times New Roman" w:hAnsi="Times New Roman" w:cs="Times New Roman"/>
          <w:sz w:val="24"/>
          <w:szCs w:val="24"/>
          <w:lang w:val="kk-KZ"/>
        </w:rPr>
      </w:pPr>
      <w:r w:rsidRPr="00D005F2">
        <w:rPr>
          <w:rFonts w:ascii="Times New Roman" w:hAnsi="Times New Roman" w:cs="Times New Roman"/>
          <w:sz w:val="24"/>
          <w:szCs w:val="24"/>
          <w:lang w:val="kk-KZ"/>
        </w:rPr>
        <w:t>Осы техникалық ерекшеліктің барлық талаптары міндетті болып табылады.</w:t>
      </w:r>
    </w:p>
    <w:tbl>
      <w:tblPr>
        <w:tblpPr w:leftFromText="180" w:rightFromText="180" w:vertAnchor="text" w:tblpX="98" w:tblpY="1"/>
        <w:tblOverlap w:val="never"/>
        <w:tblW w:w="9776" w:type="dxa"/>
        <w:tblLook w:val="0000" w:firstRow="0" w:lastRow="0" w:firstColumn="0" w:lastColumn="0" w:noHBand="0" w:noVBand="0"/>
      </w:tblPr>
      <w:tblGrid>
        <w:gridCol w:w="561"/>
        <w:gridCol w:w="2411"/>
        <w:gridCol w:w="6804"/>
      </w:tblGrid>
      <w:tr w:rsidR="00324B56" w:rsidRPr="005850A1" w14:paraId="344CE3F3" w14:textId="77777777" w:rsidTr="003E3901">
        <w:trPr>
          <w:cantSplit/>
          <w:trHeight w:val="451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E4B0E" w14:textId="77777777" w:rsidR="00324B56" w:rsidRPr="00EE6179" w:rsidRDefault="00324B56" w:rsidP="00324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2446F" w14:textId="77777777" w:rsidR="00324B56" w:rsidRPr="00EE6179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 атауы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22D4" w14:textId="190B7E0B" w:rsidR="00324B56" w:rsidRPr="005850A1" w:rsidRDefault="005850A1" w:rsidP="003E3901">
            <w:pPr>
              <w:spacing w:after="0" w:line="240" w:lineRule="auto"/>
              <w:ind w:firstLine="2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A54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"Қазығұрт аудандық тұрғын үй-коммуналдық шаруашылық, жолаушылар көлігі және автомобиль жолдары бөлімі" КММ»  Мемлекеттік мекемесі.</w:t>
            </w:r>
            <w:bookmarkStart w:id="0" w:name="_GoBack"/>
            <w:bookmarkEnd w:id="0"/>
          </w:p>
        </w:tc>
      </w:tr>
      <w:tr w:rsidR="00324B56" w:rsidRPr="005850A1" w14:paraId="22E0DE9E" w14:textId="77777777" w:rsidTr="003E3901">
        <w:trPr>
          <w:trHeight w:val="8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1BF51" w14:textId="77777777" w:rsidR="00324B56" w:rsidRPr="00035A8D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53853" w14:textId="77777777" w:rsidR="00324B56" w:rsidRPr="00EE6179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Лоттың атауы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C74E" w14:textId="4825881C" w:rsidR="00324B56" w:rsidRPr="00174876" w:rsidRDefault="00E87924" w:rsidP="00356391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7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«Мемлекеттік тұрғын үй қорынан тұрғын үйді жекешелендіру» мемлекеттік қызметін көрсету бойынша ақпараттық қызметке (бұдан әрі – АЖ) қол жеткізу қызметі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324B56" w:rsidRPr="00035A8D" w14:paraId="37F949E1" w14:textId="77777777" w:rsidTr="003E3901">
        <w:trPr>
          <w:trHeight w:val="8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20BA" w14:textId="77777777" w:rsidR="00324B56" w:rsidRPr="009F7FD6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9446D" w14:textId="77777777" w:rsidR="00324B56" w:rsidRPr="009F7FD6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B95AF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EF75" w14:textId="77777777" w:rsidR="00E87924" w:rsidRPr="00E87924" w:rsidRDefault="00E87924" w:rsidP="00E87924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620230.000.000001</w:t>
            </w:r>
          </w:p>
          <w:p w14:paraId="46F173EE" w14:textId="6DB50762" w:rsidR="00324B56" w:rsidRPr="009F7FD6" w:rsidRDefault="00E87924" w:rsidP="00E87924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жүйені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қостау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көрсетулер</w:t>
            </w:r>
            <w:proofErr w:type="spellEnd"/>
          </w:p>
        </w:tc>
      </w:tr>
      <w:tr w:rsidR="002B395A" w:rsidRPr="00035A8D" w14:paraId="6A5C874A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7193FD19" w14:textId="77777777" w:rsidR="002B395A" w:rsidRPr="00035A8D" w:rsidRDefault="00CD3F75" w:rsidP="00023B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5561A968" w14:textId="77777777" w:rsidR="002B395A" w:rsidRPr="00035A8D" w:rsidRDefault="00324B56" w:rsidP="00023B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Қызметтің атауы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CE867" w14:textId="2CFF351D" w:rsidR="00324B56" w:rsidRPr="001872FB" w:rsidRDefault="00E87924" w:rsidP="00674471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Үкіметінің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 жылғы 2 шілдедегі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673</w:t>
            </w:r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қаулысымен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(бұдан әрі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E87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қорынан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үйді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жекешелендіру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пәтерді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жекешелендіруге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E8792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4B56">
              <w:rPr>
                <w:rFonts w:ascii="Times New Roman" w:hAnsi="Times New Roman" w:cs="Times New Roman"/>
                <w:sz w:val="24"/>
                <w:szCs w:val="24"/>
              </w:rPr>
              <w:t>АЖ-</w:t>
            </w:r>
            <w:proofErr w:type="spellStart"/>
            <w:r w:rsidR="00607C99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324B56" w:rsidRPr="00D00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D005F2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="00324B56" w:rsidRPr="00D00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D005F2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="00324B56" w:rsidRPr="00D00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D005F2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="00324B56" w:rsidRPr="0032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6F5" w:rsidRPr="00035A8D" w14:paraId="3C088F81" w14:textId="77777777" w:rsidTr="003E3901">
        <w:trPr>
          <w:trHeight w:val="5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7ABF13D8" w14:textId="77777777" w:rsidR="00BD46F5" w:rsidRDefault="00BD46F5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0F69503D" w14:textId="77777777" w:rsidR="00BD46F5" w:rsidRPr="00801C34" w:rsidRDefault="00BD46F5" w:rsidP="00BD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бірлігі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7F6EC" w14:textId="77777777" w:rsidR="00BD46F5" w:rsidRPr="00B95AF6" w:rsidRDefault="00BD46F5" w:rsidP="003E3901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</w:tr>
      <w:tr w:rsidR="00BD46F5" w:rsidRPr="00035A8D" w14:paraId="42806BD2" w14:textId="77777777" w:rsidTr="003E3901">
        <w:trPr>
          <w:trHeight w:val="74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76248D" w14:textId="77777777" w:rsidR="00BD46F5" w:rsidRDefault="00BD46F5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650325" w14:textId="77777777" w:rsidR="00BD46F5" w:rsidRPr="00801C34" w:rsidRDefault="00BD46F5" w:rsidP="00BD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69F0C" w14:textId="77777777" w:rsidR="00BD46F5" w:rsidRPr="00801C34" w:rsidRDefault="00BD46F5" w:rsidP="003E3901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B56" w:rsidRPr="00035A8D" w14:paraId="055B2841" w14:textId="77777777" w:rsidTr="003E390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53B536AC" w14:textId="77777777" w:rsidR="00324B56" w:rsidRPr="00801C34" w:rsidRDefault="00324B56" w:rsidP="0032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69FF4716" w14:textId="77777777" w:rsidR="00324B56" w:rsidRPr="00801C34" w:rsidRDefault="00324B56" w:rsidP="00324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көрсету орны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718B2" w14:textId="77777777" w:rsidR="00324B56" w:rsidRPr="00801C34" w:rsidRDefault="00607C99" w:rsidP="00874675">
            <w:pPr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көрсетушінің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облыстың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4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4675">
              <w:rPr>
                <w:rFonts w:ascii="Times New Roman" w:hAnsi="Times New Roman" w:cs="Times New Roman"/>
                <w:sz w:val="24"/>
                <w:szCs w:val="24"/>
              </w:rPr>
              <w:t>ауданның</w:t>
            </w:r>
            <w:proofErr w:type="spellEnd"/>
            <w:r w:rsidR="00874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4675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675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6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proofErr w:type="spellStart"/>
            <w:r w:rsidR="00874675" w:rsidRPr="001D1196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="00874675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қалан</w:t>
            </w:r>
            <w:r w:rsidR="00324B56">
              <w:rPr>
                <w:rFonts w:ascii="Times New Roman" w:hAnsi="Times New Roman" w:cs="Times New Roman"/>
                <w:sz w:val="24"/>
                <w:szCs w:val="24"/>
              </w:rPr>
              <w:t>ың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атқарушы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органының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бөлімшесі</w:t>
            </w:r>
            <w:proofErr w:type="spellEnd"/>
            <w:r w:rsidR="00324B56" w:rsidRPr="001D11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B56" w:rsidRPr="00324B56" w14:paraId="1B475A02" w14:textId="77777777" w:rsidTr="003E390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1523F2F3" w14:textId="77777777" w:rsidR="00324B56" w:rsidRPr="00801C34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1F2C0F22" w14:textId="77777777" w:rsidR="00324B56" w:rsidRPr="00801C34" w:rsidRDefault="00324B56" w:rsidP="00324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сипаттамасы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D3E0E" w14:textId="77777777" w:rsidR="00324B56" w:rsidRDefault="00324B56" w:rsidP="003E3901">
            <w:pPr>
              <w:spacing w:after="0" w:line="240" w:lineRule="auto"/>
              <w:ind w:firstLine="248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шарттың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ажырамас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267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52A608" w14:textId="62394EEA" w:rsidR="00324B56" w:rsidRDefault="00324B56" w:rsidP="003E3901">
            <w:pPr>
              <w:spacing w:after="0" w:line="240" w:lineRule="auto"/>
              <w:ind w:firstLine="248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сипаттама «Тұрғын үй қатынастары туралы» Қазақстан Республикасының 1997 жылғы 16 сәуірдегі Заңына, «Мемлекеттік сатып алу туралы» Қазақстан Республикасының 2015 жылғы 4 желтоқсандағы Заңына, Қазақстан Республикасы Индустрия және инфрақұрылымдық даму министрінің 2021 жылғы 1</w:t>
            </w:r>
            <w:r w:rsidR="00355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тамызындағы № 4</w:t>
            </w:r>
            <w:r w:rsidR="00355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бұйрығына сәйкес әзірленді.</w:t>
            </w:r>
          </w:p>
          <w:p w14:paraId="6BB85FFD" w14:textId="77777777" w:rsidR="00324B56" w:rsidRPr="00324B56" w:rsidRDefault="00324B56" w:rsidP="00243111">
            <w:pPr>
              <w:spacing w:after="0" w:line="240" w:lineRule="auto"/>
              <w:ind w:firstLine="248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Қызметтің мақса</w:t>
            </w:r>
            <w:r w:rsidR="00243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Тапсырыс берушіге АЖ-ға қол жеткізуді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ұсыну болып табылады</w:t>
            </w:r>
            <w:r w:rsidRPr="00F74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24B56" w:rsidRPr="005850A1" w14:paraId="2240F292" w14:textId="77777777" w:rsidTr="003E390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1B54C430" w14:textId="77777777" w:rsidR="00324B56" w:rsidRPr="009A6FAC" w:rsidRDefault="00BD46F5" w:rsidP="00324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1DF72787" w14:textId="77777777" w:rsidR="00324B56" w:rsidRPr="00B74902" w:rsidRDefault="00324B56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 қойылатын талаптар</w:t>
            </w:r>
          </w:p>
          <w:p w14:paraId="2DB42176" w14:textId="77777777" w:rsidR="00324B56" w:rsidRPr="00801C34" w:rsidRDefault="00324B56" w:rsidP="00324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48747" w14:textId="666C58C4" w:rsidR="00324B56" w:rsidRDefault="00324B56" w:rsidP="003E3901">
            <w:pPr>
              <w:pStyle w:val="22"/>
              <w:tabs>
                <w:tab w:val="left" w:pos="531"/>
              </w:tabs>
              <w:spacing w:before="0" w:after="0"/>
              <w:ind w:firstLine="248"/>
              <w:jc w:val="both"/>
              <w:rPr>
                <w:color w:val="000000" w:themeColor="text1"/>
                <w:lang w:val="kk-KZ"/>
              </w:rPr>
            </w:pPr>
            <w:r w:rsidRPr="005515C5">
              <w:rPr>
                <w:color w:val="000000" w:themeColor="text1"/>
                <w:lang w:val="kk-KZ"/>
              </w:rPr>
              <w:t>АЖ-да келесі функционалдық мүмкіндіктер болуы тиіс:</w:t>
            </w:r>
          </w:p>
          <w:p w14:paraId="082A2D23" w14:textId="77777777" w:rsidR="00355710" w:rsidRPr="00355710" w:rsidRDefault="00355710" w:rsidP="00355710">
            <w:pPr>
              <w:pStyle w:val="22"/>
              <w:tabs>
                <w:tab w:val="left" w:pos="531"/>
              </w:tabs>
              <w:spacing w:after="0"/>
              <w:ind w:firstLine="248"/>
              <w:jc w:val="both"/>
              <w:rPr>
                <w:color w:val="000000" w:themeColor="text1"/>
                <w:lang w:val="kk-KZ"/>
              </w:rPr>
            </w:pPr>
            <w:r w:rsidRPr="00355710">
              <w:rPr>
                <w:color w:val="000000" w:themeColor="text1"/>
                <w:lang w:val="kk-KZ"/>
              </w:rPr>
              <w:t>1) қызмет алушының (өтініш берушінің) өтініш беруі;</w:t>
            </w:r>
          </w:p>
          <w:p w14:paraId="55125C46" w14:textId="77777777" w:rsidR="00355710" w:rsidRPr="00355710" w:rsidRDefault="00355710" w:rsidP="00355710">
            <w:pPr>
              <w:pStyle w:val="22"/>
              <w:tabs>
                <w:tab w:val="left" w:pos="531"/>
              </w:tabs>
              <w:spacing w:after="0"/>
              <w:ind w:firstLine="248"/>
              <w:jc w:val="both"/>
              <w:rPr>
                <w:color w:val="000000" w:themeColor="text1"/>
                <w:lang w:val="kk-KZ"/>
              </w:rPr>
            </w:pPr>
            <w:r w:rsidRPr="00355710">
              <w:rPr>
                <w:color w:val="000000" w:themeColor="text1"/>
                <w:lang w:val="kk-KZ"/>
              </w:rPr>
              <w:t>2) «Kezekte.kz» АЖ мемлекеттік органдар мен ұйымдардың ақпараттық жүйелерімен ақпараттық өзара әрекеттесу нәтижесінде өтініш берушінің деректерін тексеру (форматтық-логикалық бақылау);</w:t>
            </w:r>
          </w:p>
          <w:p w14:paraId="3C6ACAFD" w14:textId="77777777" w:rsidR="00355710" w:rsidRPr="00355710" w:rsidRDefault="00355710" w:rsidP="00355710">
            <w:pPr>
              <w:pStyle w:val="22"/>
              <w:tabs>
                <w:tab w:val="left" w:pos="531"/>
              </w:tabs>
              <w:spacing w:after="0"/>
              <w:ind w:firstLine="248"/>
              <w:jc w:val="both"/>
              <w:rPr>
                <w:color w:val="000000" w:themeColor="text1"/>
                <w:lang w:val="kk-KZ"/>
              </w:rPr>
            </w:pPr>
            <w:r w:rsidRPr="00355710">
              <w:rPr>
                <w:color w:val="000000" w:themeColor="text1"/>
                <w:lang w:val="kk-KZ"/>
              </w:rPr>
              <w:lastRenderedPageBreak/>
              <w:t>3) көрсетілетін қызметті берушінің тұрғын үй комиссиясының өтінішті қарауы және тұрғын үйді жекешелендіру туралы шешім қабылдау не дәлелді бас тарту;</w:t>
            </w:r>
          </w:p>
          <w:p w14:paraId="5114B3C2" w14:textId="695A431F" w:rsidR="00782E89" w:rsidRPr="00355710" w:rsidRDefault="00355710" w:rsidP="00355710">
            <w:pPr>
              <w:pStyle w:val="22"/>
              <w:tabs>
                <w:tab w:val="left" w:pos="531"/>
              </w:tabs>
              <w:spacing w:before="0" w:after="0"/>
              <w:ind w:firstLine="248"/>
              <w:jc w:val="both"/>
              <w:rPr>
                <w:color w:val="000000" w:themeColor="text1"/>
                <w:lang w:val="kk-KZ"/>
              </w:rPr>
            </w:pPr>
            <w:r w:rsidRPr="00355710">
              <w:rPr>
                <w:color w:val="000000" w:themeColor="text1"/>
                <w:lang w:val="kk-KZ"/>
              </w:rPr>
              <w:t>4) көрсетілетін қызметті беруші мен көрсетілетін қызметті алушы арасында ЭЦҚ қойылған тұрғын үйді жекешелендіру шартын жасау.</w:t>
            </w:r>
            <w:r w:rsidR="00386049">
              <w:rPr>
                <w:color w:val="000000" w:themeColor="text1"/>
                <w:lang w:val="kk-KZ"/>
              </w:rPr>
              <w:t xml:space="preserve"> </w:t>
            </w:r>
          </w:p>
        </w:tc>
      </w:tr>
      <w:tr w:rsidR="00A97321" w:rsidRPr="005850A1" w14:paraId="2198214A" w14:textId="77777777" w:rsidTr="003E3901">
        <w:trPr>
          <w:trHeight w:val="5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14:paraId="30A67D64" w14:textId="77777777" w:rsidR="00A97321" w:rsidRPr="009A6FAC" w:rsidRDefault="00BD46F5" w:rsidP="00782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7E254190" w14:textId="77777777" w:rsidR="00A97321" w:rsidRPr="00BE7ADF" w:rsidRDefault="00A97321" w:rsidP="00782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Ақпараттық қауіпсіздікті қамтамасыз етуге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12227" w14:textId="77777777" w:rsidR="00A97321" w:rsidRPr="001D07B2" w:rsidRDefault="00A97321" w:rsidP="00782E89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 орналастырылған цифрлық платформа Қазақстан Республикасының ақпараттық қауіпсіздік талаптарына сәйкес келуі тиіс (ЦДИАӨМ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қпараттық қауіпсіздік комитеті берген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ынақ актісімен расталады)</w:t>
            </w:r>
            <w:r w:rsidR="00782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49462754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1D5BE" w14:textId="77777777" w:rsidR="00A97321" w:rsidRPr="009A6FAC" w:rsidRDefault="00BD46F5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1CD43" w14:textId="77777777" w:rsidR="00A97321" w:rsidRPr="00035A8D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АЖ-да </w:t>
            </w: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операциялар</w:t>
            </w:r>
            <w:proofErr w:type="spellEnd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жүргізу</w:t>
            </w:r>
            <w:proofErr w:type="spellEnd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ЭЦҚ-</w:t>
            </w: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ға</w:t>
            </w:r>
            <w:proofErr w:type="spellEnd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қойылатын</w:t>
            </w:r>
            <w:proofErr w:type="spellEnd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6B1D" w14:textId="77777777" w:rsidR="00A97321" w:rsidRPr="00560E80" w:rsidRDefault="00A97321" w:rsidP="00560E80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АЖ-да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операциялар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6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өтінішке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пайдаланушылардың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қо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 ЭЦҚ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="0056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159C9D31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F9BA8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34337" w14:textId="77777777" w:rsidR="00A97321" w:rsidRPr="00BE7ADF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Жүйе деректерінің тиесілілігіне қойылатын талаптар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DE3" w14:textId="77777777" w:rsidR="00A97321" w:rsidRPr="00560E80" w:rsidRDefault="00A97321" w:rsidP="003E3901">
            <w:pPr>
              <w:spacing w:after="0" w:line="240" w:lineRule="auto"/>
              <w:ind w:firstLine="248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АЖ-да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қалыптастырылатын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дерек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меншікке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="00560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2E77B491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71E78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8A7E1" w14:textId="77777777" w:rsidR="00A97321" w:rsidRPr="00801C34" w:rsidRDefault="00A97321" w:rsidP="00A9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АЖ </w:t>
            </w:r>
            <w:proofErr w:type="spellStart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интерфейсіне</w:t>
            </w:r>
            <w:proofErr w:type="spellEnd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қойылатын</w:t>
            </w:r>
            <w:proofErr w:type="spellEnd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24BF" w14:textId="77777777" w:rsidR="00A97321" w:rsidRPr="001164CA" w:rsidRDefault="00A97321" w:rsidP="003E3901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АЖ</w:t>
            </w:r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интерфейсі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оңай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ыңғайлы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болуы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керек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Жұмыс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АЖ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пайдаланушыларына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жұмыс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процестеріндегі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рөлдеріне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сәйкес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қажетті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функциялар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ғана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қолжетімді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болуы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тиіс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АЖ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ағымдағы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сәтте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жүйеде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жұмыс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істейтін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пайдаланушыларды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қарау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мүмкіндігін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мтамасыз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етуі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АЖ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жүйеде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қиғалар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журналы)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нақты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құжат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іс-әрекеттер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хабарламаларды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жазу</w:t>
            </w:r>
            <w:proofErr w:type="spellEnd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7B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етуі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тиіс</w:t>
            </w:r>
            <w:proofErr w:type="spellEnd"/>
            <w:r w:rsidR="00116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75DA9DC5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6D7D9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36A03" w14:textId="77777777" w:rsidR="00A97321" w:rsidRPr="00035A8D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Деректерді</w:t>
            </w:r>
            <w:proofErr w:type="spellEnd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сақтауға</w:t>
            </w:r>
            <w:proofErr w:type="spellEnd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қойылатын</w:t>
            </w:r>
            <w:proofErr w:type="spellEnd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C830" w14:textId="77777777" w:rsidR="00A97321" w:rsidRPr="001164CA" w:rsidRDefault="00A97321" w:rsidP="003E3901">
            <w:pPr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АЖ-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дағы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қалыптастыратын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авариялық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мүмкіндігімен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резервтелуге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="00116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97321" w:rsidRPr="00035A8D" w14:paraId="0A5733A8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8194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F0413" w14:textId="77777777" w:rsidR="00A97321" w:rsidRPr="00BE7ADF" w:rsidRDefault="00A97321" w:rsidP="00A9732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Субъектілерге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беру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ADF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29A9" w14:textId="77777777" w:rsidR="00A97321" w:rsidRPr="00BE7ADF" w:rsidRDefault="001164CA" w:rsidP="003E3901">
            <w:pPr>
              <w:pStyle w:val="ac"/>
              <w:ind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АЖ-мен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ьтациялар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нтернет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компьютерлік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телекоммуникациялық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жеткізуін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ете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қызметкеріне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қызметкер</w:t>
            </w:r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леріне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кабинет,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үстелі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қуаты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116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321" w:rsidRPr="00035A8D" w14:paraId="247754FF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55FCA" w14:textId="77777777" w:rsidR="00A97321" w:rsidRPr="009A6FAC" w:rsidRDefault="00A97321" w:rsidP="00BD46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BD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8A539" w14:textId="77777777" w:rsidR="00A97321" w:rsidRPr="00035A8D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>сүйемелдеуге</w:t>
            </w:r>
            <w:proofErr w:type="spellEnd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3135" w14:textId="77777777" w:rsidR="00A97321" w:rsidRPr="001D07B2" w:rsidRDefault="003E26BE" w:rsidP="003E3901">
            <w:pPr>
              <w:pStyle w:val="ac"/>
              <w:numPr>
                <w:ilvl w:val="0"/>
                <w:numId w:val="10"/>
              </w:numPr>
              <w:tabs>
                <w:tab w:val="left" w:pos="346"/>
              </w:tabs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ехникалық</w:t>
            </w:r>
            <w:proofErr w:type="spellEnd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1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A5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(екі)</w:t>
            </w:r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қашықтан</w:t>
            </w:r>
            <w:proofErr w:type="spellEnd"/>
            <w:r w:rsidR="00A97321" w:rsidRPr="001D07B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A97321" w:rsidRP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B778C41" w14:textId="77777777" w:rsidR="00A97321" w:rsidRPr="001D07B2" w:rsidRDefault="00A97321" w:rsidP="003E3901">
            <w:pPr>
              <w:pStyle w:val="ac"/>
              <w:numPr>
                <w:ilvl w:val="0"/>
                <w:numId w:val="10"/>
              </w:numPr>
              <w:tabs>
                <w:tab w:val="left" w:pos="346"/>
              </w:tabs>
              <w:ind w:left="0" w:firstLine="2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нім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беруші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үшін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тараптан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жүйе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емлекеттік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еректер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қоры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иесінің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өзара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іс-қимылын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тоқтату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тоқтата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тұру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жағдайларын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қоспағанда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АЖ-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ның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үздіксіз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жұмысын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қамтамасыз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етуге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міндеттенеді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4C76D3" w14:textId="77777777" w:rsidR="00A97321" w:rsidRPr="00BE7ADF" w:rsidRDefault="00A97321" w:rsidP="003E3901">
            <w:pPr>
              <w:pStyle w:val="ac"/>
              <w:numPr>
                <w:ilvl w:val="0"/>
                <w:numId w:val="10"/>
              </w:numPr>
              <w:tabs>
                <w:tab w:val="left" w:pos="346"/>
              </w:tabs>
              <w:ind w:left="0" w:firstLine="248"/>
              <w:jc w:val="both"/>
              <w:rPr>
                <w:color w:val="000000" w:themeColor="text1"/>
              </w:rPr>
            </w:pP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шарттар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жағдайлар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анықталып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қолданыстағы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Қағидалармен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реттелмеген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жағдайда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АЖ-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пысықтау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күйге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келтіру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Индустрия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инфрақұрылымдық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даму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Министрлігі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Құрылыс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тұрғын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үй-коммуналдық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шаруашылық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істері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комитетінің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жазбаша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түсініктемелері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негізінде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жүргізіледі</w:t>
            </w:r>
            <w:proofErr w:type="spellEnd"/>
            <w:r w:rsidRPr="001D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97321" w:rsidRPr="00035A8D" w14:paraId="43BDCA2F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47409" w14:textId="77777777" w:rsidR="00A97321" w:rsidRPr="009A6FAC" w:rsidRDefault="00BD46F5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435FD" w14:textId="77777777" w:rsidR="00A97321" w:rsidRPr="00035A8D" w:rsidRDefault="00A97321" w:rsidP="00A973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Интеграциялар</w:t>
            </w:r>
            <w:proofErr w:type="spellEnd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1802" w14:textId="77777777" w:rsidR="00A97321" w:rsidRPr="0008014D" w:rsidRDefault="00A97321" w:rsidP="003E3901">
            <w:pPr>
              <w:pStyle w:val="af3"/>
              <w:spacing w:after="0" w:line="240" w:lineRule="auto"/>
              <w:ind w:left="0" w:firstLine="248"/>
              <w:contextualSpacing w:val="0"/>
              <w:mirrorIndent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АЖ-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ның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жүйелермен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дерекқорлармен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өзара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әрекеттестік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етіледі</w:t>
            </w:r>
            <w:proofErr w:type="spellEnd"/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тұлғалар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МДҚ, «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Заңды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тұлғалар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МДҚ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хал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актілерін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жүйесі</w:t>
            </w:r>
            <w:proofErr w:type="spellEnd"/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ейнетақы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жәрдемақы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төлеудің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орталықтандырылған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дерекқоры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тандырылған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жүйесі</w:t>
            </w:r>
            <w:proofErr w:type="spellEnd"/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Төлемдерді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өңдеуді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автоматт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андырылған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жүйесі</w:t>
            </w:r>
            <w:proofErr w:type="spellEnd"/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үгедектігі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бар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адамдардың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орталықтандырылған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дерекқоры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автомат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тандырылған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жүйесі</w:t>
            </w:r>
            <w:proofErr w:type="spellEnd"/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Мекенжай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тіркелімі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жүйесі</w:t>
            </w:r>
            <w:proofErr w:type="spellEnd"/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Е-ҚЫЗМЕТ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жүйесі</w:t>
            </w:r>
            <w:proofErr w:type="spellEnd"/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Мемлекеттік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мүлік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тізілімі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АЖ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Мобильдік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үкімет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жүйесінің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обильдік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азаматтар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базасы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компоненті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«М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обильдік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үкімет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ақпараттық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жүйесі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(SMS-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хабарламалар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жіберу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080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Республикасыны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куәландырушы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орталығы</w:t>
            </w:r>
            <w:proofErr w:type="spellEnd"/>
          </w:p>
        </w:tc>
      </w:tr>
      <w:tr w:rsidR="002C05A4" w:rsidRPr="005850A1" w14:paraId="2E7C66B1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25586" w14:textId="77777777" w:rsidR="002C05A4" w:rsidRPr="000715C1" w:rsidRDefault="002C05A4" w:rsidP="002C0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15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071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7D775" w14:textId="10D21956" w:rsidR="002C05A4" w:rsidRPr="000715C1" w:rsidRDefault="00355710" w:rsidP="002C0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902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85B5" w14:textId="793ED64F" w:rsidR="002C05A4" w:rsidRPr="000715C1" w:rsidRDefault="00355710" w:rsidP="008540F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Шарт жасалған күннен бастап (</w:t>
            </w:r>
            <w:r w:rsidRPr="00355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АЖ-ге қол жеткізу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ді қамтамасыз ету жөніндегі</w:t>
            </w:r>
            <w:r w:rsidRPr="00355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қызметтерді мемлекеттік сатып алу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 </w:t>
            </w:r>
            <w:r w:rsidRPr="00355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C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Pr="00355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</w:t>
            </w:r>
            <w:r w:rsidRPr="00355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31 желтоқсанына дейін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2C05A4" w:rsidRPr="00035A8D" w14:paraId="36FE6BF0" w14:textId="77777777" w:rsidTr="003E3901">
        <w:trPr>
          <w:trHeight w:val="3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2828" w14:textId="494DB05C" w:rsidR="002C05A4" w:rsidRPr="00355710" w:rsidRDefault="002C05A4" w:rsidP="002C0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4713A" w14:textId="77777777" w:rsidR="002C05A4" w:rsidRPr="007B2556" w:rsidRDefault="002C05A4" w:rsidP="002C05A4">
            <w:pPr>
              <w:pStyle w:val="af3"/>
              <w:spacing w:after="0" w:line="240" w:lineRule="auto"/>
              <w:ind w:left="0"/>
              <w:contextualSpacing w:val="0"/>
              <w:mirrorIndent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Актіле</w:t>
            </w:r>
            <w:r w:rsidRPr="007F5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7F5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5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тәртібіне</w:t>
            </w:r>
            <w:proofErr w:type="spellEnd"/>
            <w:r w:rsidRPr="007F5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5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қойылатын</w:t>
            </w:r>
            <w:proofErr w:type="spellEnd"/>
            <w:r w:rsidRPr="007F5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5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116" w14:textId="77777777" w:rsidR="002C05A4" w:rsidRPr="00413739" w:rsidRDefault="002C05A4" w:rsidP="002C05A4">
            <w:pPr>
              <w:pStyle w:val="af3"/>
              <w:spacing w:after="0" w:line="240" w:lineRule="auto"/>
              <w:ind w:left="0" w:firstLine="248"/>
              <w:contextualSpacing w:val="0"/>
              <w:mirrorIndent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АЖ-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біржолғы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боненттік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төлем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өлінбейтін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табылады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апсырыс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беруші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шарт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жасалғ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күннен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</w:t>
            </w:r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нім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беруші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63F5">
              <w:rPr>
                <w:rFonts w:ascii="Times New Roman" w:hAnsi="Times New Roman"/>
                <w:sz w:val="24"/>
                <w:szCs w:val="24"/>
              </w:rPr>
              <w:t>қоятын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актісі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негізінде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біржолғы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төлеммен</w:t>
            </w:r>
            <w:proofErr w:type="spellEnd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</w:tbl>
    <w:p w14:paraId="597FB2F3" w14:textId="77777777" w:rsidR="004100B1" w:rsidRDefault="004100B1" w:rsidP="00023B7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300E92D" w14:textId="359F7996" w:rsidR="003463C0" w:rsidRPr="00DB2484" w:rsidRDefault="00CD3F75" w:rsidP="000715C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br w:type="textWrapping" w:clear="all"/>
      </w:r>
    </w:p>
    <w:sectPr w:rsidR="003463C0" w:rsidRPr="00DB2484" w:rsidSect="00023B7A">
      <w:headerReference w:type="default" r:id="rId7"/>
      <w:headerReference w:type="first" r:id="rId8"/>
      <w:pgSz w:w="11906" w:h="16838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0FA00" w14:textId="77777777" w:rsidR="008E5F17" w:rsidRDefault="008E5F17" w:rsidP="00390D91">
      <w:pPr>
        <w:spacing w:after="0" w:line="240" w:lineRule="auto"/>
      </w:pPr>
      <w:r>
        <w:separator/>
      </w:r>
    </w:p>
  </w:endnote>
  <w:endnote w:type="continuationSeparator" w:id="0">
    <w:p w14:paraId="5A16B1A0" w14:textId="77777777" w:rsidR="008E5F17" w:rsidRDefault="008E5F17" w:rsidP="0039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F8276" w14:textId="77777777" w:rsidR="008E5F17" w:rsidRDefault="008E5F17" w:rsidP="00390D91">
      <w:pPr>
        <w:spacing w:after="0" w:line="240" w:lineRule="auto"/>
      </w:pPr>
      <w:r>
        <w:separator/>
      </w:r>
    </w:p>
  </w:footnote>
  <w:footnote w:type="continuationSeparator" w:id="0">
    <w:p w14:paraId="6D6BA462" w14:textId="77777777" w:rsidR="008E5F17" w:rsidRDefault="008E5F17" w:rsidP="0039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726238"/>
      <w:docPartObj>
        <w:docPartGallery w:val="Page Numbers (Top of Page)"/>
        <w:docPartUnique/>
      </w:docPartObj>
    </w:sdtPr>
    <w:sdtEndPr/>
    <w:sdtContent>
      <w:p w14:paraId="5BC4F81D" w14:textId="45ABB49B" w:rsidR="00054459" w:rsidRDefault="000544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0A1">
          <w:rPr>
            <w:noProof/>
          </w:rPr>
          <w:t>3</w:t>
        </w:r>
        <w:r>
          <w:fldChar w:fldCharType="end"/>
        </w:r>
      </w:p>
    </w:sdtContent>
  </w:sdt>
  <w:p w14:paraId="2E6F6413" w14:textId="77777777" w:rsidR="00390D91" w:rsidRDefault="00390D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6B2C0" w14:textId="77777777" w:rsidR="00047661" w:rsidRDefault="000476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2763"/>
    <w:multiLevelType w:val="hybridMultilevel"/>
    <w:tmpl w:val="AB3EE96E"/>
    <w:lvl w:ilvl="0" w:tplc="B70A85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7F1"/>
    <w:multiLevelType w:val="multilevel"/>
    <w:tmpl w:val="2F12415A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5" w:hanging="720"/>
      </w:p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304B7C39"/>
    <w:multiLevelType w:val="hybridMultilevel"/>
    <w:tmpl w:val="1B3C1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D72D0"/>
    <w:multiLevelType w:val="hybridMultilevel"/>
    <w:tmpl w:val="F03A6542"/>
    <w:lvl w:ilvl="0" w:tplc="829C2D1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8340B6"/>
    <w:multiLevelType w:val="multilevel"/>
    <w:tmpl w:val="62AE3BCE"/>
    <w:lvl w:ilvl="0">
      <w:start w:val="1"/>
      <w:numFmt w:val="decimal"/>
      <w:lvlText w:val="%1)"/>
      <w:lvlJc w:val="left"/>
      <w:pPr>
        <w:tabs>
          <w:tab w:val="num" w:pos="360"/>
        </w:tabs>
        <w:ind w:left="1405" w:hanging="360"/>
      </w:pPr>
      <w:rPr>
        <w:rFonts w:ascii="Times New Roman" w:hAnsi="Times New Roman" w:cs="Times New Roman"/>
        <w:strike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125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84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565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285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5005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725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445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165" w:hanging="180"/>
      </w:pPr>
    </w:lvl>
  </w:abstractNum>
  <w:abstractNum w:abstractNumId="5" w15:restartNumberingAfterBreak="0">
    <w:nsid w:val="53231D9C"/>
    <w:multiLevelType w:val="hybridMultilevel"/>
    <w:tmpl w:val="F368966E"/>
    <w:lvl w:ilvl="0" w:tplc="B94649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E1BD4"/>
    <w:multiLevelType w:val="multilevel"/>
    <w:tmpl w:val="969C52E2"/>
    <w:lvl w:ilvl="0">
      <w:start w:val="1"/>
      <w:numFmt w:val="none"/>
      <w:lvlText w:val="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pStyle w:val="a"/>
      <w:lvlText w:val="%4."/>
      <w:lvlJc w:val="left"/>
      <w:pPr>
        <w:ind w:left="3009" w:firstLine="25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707" w:firstLine="324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7" w15:restartNumberingAfterBreak="0">
    <w:nsid w:val="60D176E4"/>
    <w:multiLevelType w:val="hybridMultilevel"/>
    <w:tmpl w:val="D4F8A9C2"/>
    <w:lvl w:ilvl="0" w:tplc="C9CE7F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49484D"/>
    <w:multiLevelType w:val="hybridMultilevel"/>
    <w:tmpl w:val="81622B1A"/>
    <w:lvl w:ilvl="0" w:tplc="2CA05E48">
      <w:start w:val="1"/>
      <w:numFmt w:val="decimal"/>
      <w:lvlText w:val="%1)"/>
      <w:lvlJc w:val="left"/>
      <w:pPr>
        <w:ind w:left="565" w:hanging="360"/>
      </w:pPr>
    </w:lvl>
    <w:lvl w:ilvl="1" w:tplc="04190019">
      <w:start w:val="1"/>
      <w:numFmt w:val="lowerLetter"/>
      <w:lvlText w:val="%2."/>
      <w:lvlJc w:val="left"/>
      <w:pPr>
        <w:ind w:left="1285" w:hanging="360"/>
      </w:pPr>
    </w:lvl>
    <w:lvl w:ilvl="2" w:tplc="0419001B">
      <w:start w:val="1"/>
      <w:numFmt w:val="lowerRoman"/>
      <w:lvlText w:val="%3."/>
      <w:lvlJc w:val="right"/>
      <w:pPr>
        <w:ind w:left="2005" w:hanging="180"/>
      </w:pPr>
    </w:lvl>
    <w:lvl w:ilvl="3" w:tplc="0419000F">
      <w:start w:val="1"/>
      <w:numFmt w:val="decimal"/>
      <w:lvlText w:val="%4."/>
      <w:lvlJc w:val="left"/>
      <w:pPr>
        <w:ind w:left="2725" w:hanging="360"/>
      </w:pPr>
    </w:lvl>
    <w:lvl w:ilvl="4" w:tplc="04190019">
      <w:start w:val="1"/>
      <w:numFmt w:val="lowerLetter"/>
      <w:lvlText w:val="%5."/>
      <w:lvlJc w:val="left"/>
      <w:pPr>
        <w:ind w:left="3445" w:hanging="360"/>
      </w:pPr>
    </w:lvl>
    <w:lvl w:ilvl="5" w:tplc="0419001B">
      <w:start w:val="1"/>
      <w:numFmt w:val="lowerRoman"/>
      <w:lvlText w:val="%6."/>
      <w:lvlJc w:val="right"/>
      <w:pPr>
        <w:ind w:left="4165" w:hanging="180"/>
      </w:pPr>
    </w:lvl>
    <w:lvl w:ilvl="6" w:tplc="0419000F">
      <w:start w:val="1"/>
      <w:numFmt w:val="decimal"/>
      <w:lvlText w:val="%7."/>
      <w:lvlJc w:val="left"/>
      <w:pPr>
        <w:ind w:left="4885" w:hanging="360"/>
      </w:pPr>
    </w:lvl>
    <w:lvl w:ilvl="7" w:tplc="04190019">
      <w:start w:val="1"/>
      <w:numFmt w:val="lowerLetter"/>
      <w:lvlText w:val="%8."/>
      <w:lvlJc w:val="left"/>
      <w:pPr>
        <w:ind w:left="5605" w:hanging="360"/>
      </w:pPr>
    </w:lvl>
    <w:lvl w:ilvl="8" w:tplc="0419001B">
      <w:start w:val="1"/>
      <w:numFmt w:val="lowerRoman"/>
      <w:lvlText w:val="%9."/>
      <w:lvlJc w:val="right"/>
      <w:pPr>
        <w:ind w:left="6325" w:hanging="180"/>
      </w:pPr>
    </w:lvl>
  </w:abstractNum>
  <w:abstractNum w:abstractNumId="9" w15:restartNumberingAfterBreak="0">
    <w:nsid w:val="78E3790C"/>
    <w:multiLevelType w:val="hybridMultilevel"/>
    <w:tmpl w:val="5A9C70C0"/>
    <w:lvl w:ilvl="0" w:tplc="DE96C4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07"/>
    <w:rsid w:val="00006BF2"/>
    <w:rsid w:val="00007131"/>
    <w:rsid w:val="00013243"/>
    <w:rsid w:val="0001756F"/>
    <w:rsid w:val="0002158B"/>
    <w:rsid w:val="00023B7A"/>
    <w:rsid w:val="00026B60"/>
    <w:rsid w:val="00035A8D"/>
    <w:rsid w:val="00035CFD"/>
    <w:rsid w:val="00037488"/>
    <w:rsid w:val="00040B81"/>
    <w:rsid w:val="00041C8B"/>
    <w:rsid w:val="0004551A"/>
    <w:rsid w:val="00047661"/>
    <w:rsid w:val="000505CB"/>
    <w:rsid w:val="00054228"/>
    <w:rsid w:val="00054459"/>
    <w:rsid w:val="000609AB"/>
    <w:rsid w:val="000632B9"/>
    <w:rsid w:val="00070D02"/>
    <w:rsid w:val="000715C1"/>
    <w:rsid w:val="0008014D"/>
    <w:rsid w:val="0009261F"/>
    <w:rsid w:val="00093771"/>
    <w:rsid w:val="0009402A"/>
    <w:rsid w:val="00094072"/>
    <w:rsid w:val="00094662"/>
    <w:rsid w:val="0009613A"/>
    <w:rsid w:val="000A3138"/>
    <w:rsid w:val="000A4CEE"/>
    <w:rsid w:val="000B6D34"/>
    <w:rsid w:val="000B7121"/>
    <w:rsid w:val="000C2EFE"/>
    <w:rsid w:val="000C3076"/>
    <w:rsid w:val="000C531E"/>
    <w:rsid w:val="000D49CE"/>
    <w:rsid w:val="000E150B"/>
    <w:rsid w:val="000E7E7F"/>
    <w:rsid w:val="000F00E7"/>
    <w:rsid w:val="000F1720"/>
    <w:rsid w:val="000F189E"/>
    <w:rsid w:val="00105399"/>
    <w:rsid w:val="00110C2F"/>
    <w:rsid w:val="001120DA"/>
    <w:rsid w:val="00114F5F"/>
    <w:rsid w:val="0011532D"/>
    <w:rsid w:val="001159DA"/>
    <w:rsid w:val="001164CA"/>
    <w:rsid w:val="00124A4A"/>
    <w:rsid w:val="00126348"/>
    <w:rsid w:val="001353AD"/>
    <w:rsid w:val="00136452"/>
    <w:rsid w:val="001406C2"/>
    <w:rsid w:val="001428C8"/>
    <w:rsid w:val="00143679"/>
    <w:rsid w:val="00143E58"/>
    <w:rsid w:val="001513E2"/>
    <w:rsid w:val="0015631B"/>
    <w:rsid w:val="00161285"/>
    <w:rsid w:val="00163DE1"/>
    <w:rsid w:val="001668B5"/>
    <w:rsid w:val="00166F7A"/>
    <w:rsid w:val="001708E7"/>
    <w:rsid w:val="00174876"/>
    <w:rsid w:val="00174C2F"/>
    <w:rsid w:val="001756E2"/>
    <w:rsid w:val="001765B9"/>
    <w:rsid w:val="00176CC8"/>
    <w:rsid w:val="00181F57"/>
    <w:rsid w:val="00183F39"/>
    <w:rsid w:val="001872FB"/>
    <w:rsid w:val="0019392A"/>
    <w:rsid w:val="00194B48"/>
    <w:rsid w:val="00195DFD"/>
    <w:rsid w:val="001A0116"/>
    <w:rsid w:val="001A19AA"/>
    <w:rsid w:val="001A1C8F"/>
    <w:rsid w:val="001A5EB8"/>
    <w:rsid w:val="001A7BCB"/>
    <w:rsid w:val="001A7C47"/>
    <w:rsid w:val="001B0DEE"/>
    <w:rsid w:val="001B2FE1"/>
    <w:rsid w:val="001B75EA"/>
    <w:rsid w:val="001C02ED"/>
    <w:rsid w:val="001C6EF5"/>
    <w:rsid w:val="001C76F0"/>
    <w:rsid w:val="001D6E57"/>
    <w:rsid w:val="001E1BA9"/>
    <w:rsid w:val="001E26FB"/>
    <w:rsid w:val="00202886"/>
    <w:rsid w:val="0020292E"/>
    <w:rsid w:val="00207771"/>
    <w:rsid w:val="00210356"/>
    <w:rsid w:val="00211EFC"/>
    <w:rsid w:val="002328E5"/>
    <w:rsid w:val="00234F6F"/>
    <w:rsid w:val="0023535E"/>
    <w:rsid w:val="00240BE8"/>
    <w:rsid w:val="00241F94"/>
    <w:rsid w:val="0024234C"/>
    <w:rsid w:val="00243111"/>
    <w:rsid w:val="00245232"/>
    <w:rsid w:val="0025287A"/>
    <w:rsid w:val="002530F1"/>
    <w:rsid w:val="00261468"/>
    <w:rsid w:val="002679AD"/>
    <w:rsid w:val="00273F3B"/>
    <w:rsid w:val="00274330"/>
    <w:rsid w:val="00277922"/>
    <w:rsid w:val="00281131"/>
    <w:rsid w:val="00282149"/>
    <w:rsid w:val="00283F13"/>
    <w:rsid w:val="00284860"/>
    <w:rsid w:val="0028713D"/>
    <w:rsid w:val="002A301E"/>
    <w:rsid w:val="002A4157"/>
    <w:rsid w:val="002A50A8"/>
    <w:rsid w:val="002A6D6E"/>
    <w:rsid w:val="002B395A"/>
    <w:rsid w:val="002B5D5A"/>
    <w:rsid w:val="002B70A8"/>
    <w:rsid w:val="002C05A4"/>
    <w:rsid w:val="002C204F"/>
    <w:rsid w:val="002C6262"/>
    <w:rsid w:val="002D451F"/>
    <w:rsid w:val="002E47B6"/>
    <w:rsid w:val="00306CD4"/>
    <w:rsid w:val="00320AC6"/>
    <w:rsid w:val="00320DCD"/>
    <w:rsid w:val="00321B94"/>
    <w:rsid w:val="00324B56"/>
    <w:rsid w:val="003262FF"/>
    <w:rsid w:val="003354B4"/>
    <w:rsid w:val="00344157"/>
    <w:rsid w:val="00345672"/>
    <w:rsid w:val="003463C0"/>
    <w:rsid w:val="00346AD1"/>
    <w:rsid w:val="00347915"/>
    <w:rsid w:val="00355710"/>
    <w:rsid w:val="00356391"/>
    <w:rsid w:val="003673A2"/>
    <w:rsid w:val="00370D4A"/>
    <w:rsid w:val="00371450"/>
    <w:rsid w:val="003802C1"/>
    <w:rsid w:val="00383D86"/>
    <w:rsid w:val="00386049"/>
    <w:rsid w:val="00387243"/>
    <w:rsid w:val="00390D91"/>
    <w:rsid w:val="0039104C"/>
    <w:rsid w:val="00392814"/>
    <w:rsid w:val="003968B7"/>
    <w:rsid w:val="00396C30"/>
    <w:rsid w:val="003A7E72"/>
    <w:rsid w:val="003B358E"/>
    <w:rsid w:val="003B3BCF"/>
    <w:rsid w:val="003C7280"/>
    <w:rsid w:val="003D1D8C"/>
    <w:rsid w:val="003D1F64"/>
    <w:rsid w:val="003D6D6C"/>
    <w:rsid w:val="003D7925"/>
    <w:rsid w:val="003D7DD1"/>
    <w:rsid w:val="003D7F07"/>
    <w:rsid w:val="003E26BE"/>
    <w:rsid w:val="003E34DF"/>
    <w:rsid w:val="003E3901"/>
    <w:rsid w:val="003E5582"/>
    <w:rsid w:val="003F03BF"/>
    <w:rsid w:val="003F1D14"/>
    <w:rsid w:val="00401DD4"/>
    <w:rsid w:val="00403413"/>
    <w:rsid w:val="00405F7F"/>
    <w:rsid w:val="004100B1"/>
    <w:rsid w:val="00412233"/>
    <w:rsid w:val="00413739"/>
    <w:rsid w:val="0042504B"/>
    <w:rsid w:val="00425F7C"/>
    <w:rsid w:val="0043060C"/>
    <w:rsid w:val="00431DE6"/>
    <w:rsid w:val="00434B0D"/>
    <w:rsid w:val="004425F6"/>
    <w:rsid w:val="00443D52"/>
    <w:rsid w:val="00444B7E"/>
    <w:rsid w:val="00457134"/>
    <w:rsid w:val="00466E9D"/>
    <w:rsid w:val="00470B6B"/>
    <w:rsid w:val="0047380C"/>
    <w:rsid w:val="00474174"/>
    <w:rsid w:val="00474F88"/>
    <w:rsid w:val="00475B3A"/>
    <w:rsid w:val="00481107"/>
    <w:rsid w:val="0048270C"/>
    <w:rsid w:val="00484419"/>
    <w:rsid w:val="004913CE"/>
    <w:rsid w:val="00493CBF"/>
    <w:rsid w:val="00494D40"/>
    <w:rsid w:val="004A6B50"/>
    <w:rsid w:val="004A6C28"/>
    <w:rsid w:val="004B46E9"/>
    <w:rsid w:val="004B60D3"/>
    <w:rsid w:val="004D04ED"/>
    <w:rsid w:val="004E5114"/>
    <w:rsid w:val="004E692B"/>
    <w:rsid w:val="004F6732"/>
    <w:rsid w:val="00505079"/>
    <w:rsid w:val="00510F03"/>
    <w:rsid w:val="00515C45"/>
    <w:rsid w:val="00520AC7"/>
    <w:rsid w:val="00523859"/>
    <w:rsid w:val="00524E9E"/>
    <w:rsid w:val="00530FAD"/>
    <w:rsid w:val="00532CB6"/>
    <w:rsid w:val="005332F6"/>
    <w:rsid w:val="00533382"/>
    <w:rsid w:val="005361FA"/>
    <w:rsid w:val="00545670"/>
    <w:rsid w:val="00545D73"/>
    <w:rsid w:val="005526FC"/>
    <w:rsid w:val="00553747"/>
    <w:rsid w:val="00554C35"/>
    <w:rsid w:val="00554F84"/>
    <w:rsid w:val="00555CD6"/>
    <w:rsid w:val="0056066D"/>
    <w:rsid w:val="00560E80"/>
    <w:rsid w:val="00561104"/>
    <w:rsid w:val="00565E45"/>
    <w:rsid w:val="00567543"/>
    <w:rsid w:val="00581FC7"/>
    <w:rsid w:val="00582138"/>
    <w:rsid w:val="00583C5A"/>
    <w:rsid w:val="005850A1"/>
    <w:rsid w:val="005949D3"/>
    <w:rsid w:val="00595C61"/>
    <w:rsid w:val="005A04A8"/>
    <w:rsid w:val="005A2C52"/>
    <w:rsid w:val="005A74F1"/>
    <w:rsid w:val="005A7D6E"/>
    <w:rsid w:val="005B1152"/>
    <w:rsid w:val="005B23B5"/>
    <w:rsid w:val="005B70F0"/>
    <w:rsid w:val="005C7811"/>
    <w:rsid w:val="005E09BB"/>
    <w:rsid w:val="005E38D7"/>
    <w:rsid w:val="005F0AB5"/>
    <w:rsid w:val="005F4F86"/>
    <w:rsid w:val="005F64E4"/>
    <w:rsid w:val="005F6CDF"/>
    <w:rsid w:val="00601735"/>
    <w:rsid w:val="00605A0E"/>
    <w:rsid w:val="006064BA"/>
    <w:rsid w:val="00607C99"/>
    <w:rsid w:val="006123DF"/>
    <w:rsid w:val="00616C2F"/>
    <w:rsid w:val="006174F7"/>
    <w:rsid w:val="00632F37"/>
    <w:rsid w:val="006354F6"/>
    <w:rsid w:val="00635619"/>
    <w:rsid w:val="00650830"/>
    <w:rsid w:val="00654B7B"/>
    <w:rsid w:val="00657BDB"/>
    <w:rsid w:val="00660ABA"/>
    <w:rsid w:val="006671FF"/>
    <w:rsid w:val="00671CD0"/>
    <w:rsid w:val="00674471"/>
    <w:rsid w:val="00674801"/>
    <w:rsid w:val="00685CA3"/>
    <w:rsid w:val="00686E0F"/>
    <w:rsid w:val="00692E8F"/>
    <w:rsid w:val="00695C26"/>
    <w:rsid w:val="0069780D"/>
    <w:rsid w:val="006B2D81"/>
    <w:rsid w:val="006B7743"/>
    <w:rsid w:val="006C5113"/>
    <w:rsid w:val="006D0C1D"/>
    <w:rsid w:val="006D0D53"/>
    <w:rsid w:val="006D2E10"/>
    <w:rsid w:val="006D3267"/>
    <w:rsid w:val="006D3558"/>
    <w:rsid w:val="006D5D34"/>
    <w:rsid w:val="006E64B2"/>
    <w:rsid w:val="006F27FF"/>
    <w:rsid w:val="00711BBC"/>
    <w:rsid w:val="007126B9"/>
    <w:rsid w:val="007133B3"/>
    <w:rsid w:val="0071439D"/>
    <w:rsid w:val="00714EB1"/>
    <w:rsid w:val="00721946"/>
    <w:rsid w:val="0072282C"/>
    <w:rsid w:val="00724CE0"/>
    <w:rsid w:val="00733E72"/>
    <w:rsid w:val="00740551"/>
    <w:rsid w:val="00743918"/>
    <w:rsid w:val="00745B7A"/>
    <w:rsid w:val="00752BB8"/>
    <w:rsid w:val="007541EA"/>
    <w:rsid w:val="00756D5D"/>
    <w:rsid w:val="0076424A"/>
    <w:rsid w:val="00764322"/>
    <w:rsid w:val="00764AF0"/>
    <w:rsid w:val="007657EA"/>
    <w:rsid w:val="007660D3"/>
    <w:rsid w:val="00766BE8"/>
    <w:rsid w:val="00766DBC"/>
    <w:rsid w:val="00772204"/>
    <w:rsid w:val="00773FA6"/>
    <w:rsid w:val="0078154B"/>
    <w:rsid w:val="00782D40"/>
    <w:rsid w:val="00782E89"/>
    <w:rsid w:val="00791D1E"/>
    <w:rsid w:val="00794EB5"/>
    <w:rsid w:val="00797D15"/>
    <w:rsid w:val="007A18B9"/>
    <w:rsid w:val="007A5C41"/>
    <w:rsid w:val="007B2556"/>
    <w:rsid w:val="007B699A"/>
    <w:rsid w:val="007C34F1"/>
    <w:rsid w:val="007C6CEE"/>
    <w:rsid w:val="007C7C04"/>
    <w:rsid w:val="007E0857"/>
    <w:rsid w:val="007E1C75"/>
    <w:rsid w:val="007E3D63"/>
    <w:rsid w:val="007F0A14"/>
    <w:rsid w:val="007F3859"/>
    <w:rsid w:val="007F79FA"/>
    <w:rsid w:val="00816F51"/>
    <w:rsid w:val="00817A77"/>
    <w:rsid w:val="008251F6"/>
    <w:rsid w:val="008252EF"/>
    <w:rsid w:val="00826AE3"/>
    <w:rsid w:val="00827ADF"/>
    <w:rsid w:val="00827B38"/>
    <w:rsid w:val="0083181E"/>
    <w:rsid w:val="00841ADB"/>
    <w:rsid w:val="00844E6F"/>
    <w:rsid w:val="008454A1"/>
    <w:rsid w:val="0084567A"/>
    <w:rsid w:val="00846688"/>
    <w:rsid w:val="00846850"/>
    <w:rsid w:val="00846A0A"/>
    <w:rsid w:val="00847DED"/>
    <w:rsid w:val="008540FB"/>
    <w:rsid w:val="00854CFC"/>
    <w:rsid w:val="00861124"/>
    <w:rsid w:val="008705FB"/>
    <w:rsid w:val="008725FA"/>
    <w:rsid w:val="00874675"/>
    <w:rsid w:val="0087709F"/>
    <w:rsid w:val="00882BE1"/>
    <w:rsid w:val="00886213"/>
    <w:rsid w:val="0088641A"/>
    <w:rsid w:val="00892B90"/>
    <w:rsid w:val="0089314A"/>
    <w:rsid w:val="008935D3"/>
    <w:rsid w:val="0089660C"/>
    <w:rsid w:val="00896655"/>
    <w:rsid w:val="008A024E"/>
    <w:rsid w:val="008A1660"/>
    <w:rsid w:val="008B0FC7"/>
    <w:rsid w:val="008B327C"/>
    <w:rsid w:val="008B5637"/>
    <w:rsid w:val="008C2954"/>
    <w:rsid w:val="008C4F6F"/>
    <w:rsid w:val="008C731D"/>
    <w:rsid w:val="008C790C"/>
    <w:rsid w:val="008D17AB"/>
    <w:rsid w:val="008E24E7"/>
    <w:rsid w:val="008E5F17"/>
    <w:rsid w:val="008F39AD"/>
    <w:rsid w:val="008F3AF2"/>
    <w:rsid w:val="008F4A35"/>
    <w:rsid w:val="008F5BC0"/>
    <w:rsid w:val="00903A30"/>
    <w:rsid w:val="0090699F"/>
    <w:rsid w:val="0091208A"/>
    <w:rsid w:val="009133CD"/>
    <w:rsid w:val="00917591"/>
    <w:rsid w:val="0092184E"/>
    <w:rsid w:val="00933AA7"/>
    <w:rsid w:val="00937AF6"/>
    <w:rsid w:val="00943A89"/>
    <w:rsid w:val="00946B78"/>
    <w:rsid w:val="00952B55"/>
    <w:rsid w:val="00960DF0"/>
    <w:rsid w:val="0096326B"/>
    <w:rsid w:val="00964376"/>
    <w:rsid w:val="00964389"/>
    <w:rsid w:val="00965241"/>
    <w:rsid w:val="00966619"/>
    <w:rsid w:val="009734C0"/>
    <w:rsid w:val="00977E9C"/>
    <w:rsid w:val="00984A10"/>
    <w:rsid w:val="00987494"/>
    <w:rsid w:val="00987600"/>
    <w:rsid w:val="00991B77"/>
    <w:rsid w:val="00995210"/>
    <w:rsid w:val="00997359"/>
    <w:rsid w:val="009A14A9"/>
    <w:rsid w:val="009A1D71"/>
    <w:rsid w:val="009A4D77"/>
    <w:rsid w:val="009A6FAC"/>
    <w:rsid w:val="009B0C5A"/>
    <w:rsid w:val="009B2A11"/>
    <w:rsid w:val="009D07B7"/>
    <w:rsid w:val="009D691C"/>
    <w:rsid w:val="009E18C8"/>
    <w:rsid w:val="009F10E8"/>
    <w:rsid w:val="009F4017"/>
    <w:rsid w:val="009F6F69"/>
    <w:rsid w:val="009F7F0C"/>
    <w:rsid w:val="009F7FD6"/>
    <w:rsid w:val="00A02792"/>
    <w:rsid w:val="00A02ACC"/>
    <w:rsid w:val="00A0590C"/>
    <w:rsid w:val="00A131D8"/>
    <w:rsid w:val="00A139A4"/>
    <w:rsid w:val="00A152B9"/>
    <w:rsid w:val="00A1564D"/>
    <w:rsid w:val="00A20907"/>
    <w:rsid w:val="00A236FC"/>
    <w:rsid w:val="00A24253"/>
    <w:rsid w:val="00A247A9"/>
    <w:rsid w:val="00A273C8"/>
    <w:rsid w:val="00A30551"/>
    <w:rsid w:val="00A3114F"/>
    <w:rsid w:val="00A32068"/>
    <w:rsid w:val="00A32F17"/>
    <w:rsid w:val="00A34446"/>
    <w:rsid w:val="00A35D04"/>
    <w:rsid w:val="00A41523"/>
    <w:rsid w:val="00A43313"/>
    <w:rsid w:val="00A44CC9"/>
    <w:rsid w:val="00A52705"/>
    <w:rsid w:val="00A63065"/>
    <w:rsid w:val="00A64206"/>
    <w:rsid w:val="00A64B96"/>
    <w:rsid w:val="00A65F16"/>
    <w:rsid w:val="00A70A35"/>
    <w:rsid w:val="00A710B7"/>
    <w:rsid w:val="00A75320"/>
    <w:rsid w:val="00A75E62"/>
    <w:rsid w:val="00A95A20"/>
    <w:rsid w:val="00A97321"/>
    <w:rsid w:val="00AA4519"/>
    <w:rsid w:val="00AA5F13"/>
    <w:rsid w:val="00AB2129"/>
    <w:rsid w:val="00AB7E84"/>
    <w:rsid w:val="00AC09E7"/>
    <w:rsid w:val="00AC4708"/>
    <w:rsid w:val="00AC6007"/>
    <w:rsid w:val="00AC72FC"/>
    <w:rsid w:val="00AD1243"/>
    <w:rsid w:val="00AD140B"/>
    <w:rsid w:val="00AD2D79"/>
    <w:rsid w:val="00AE3D2E"/>
    <w:rsid w:val="00AE7658"/>
    <w:rsid w:val="00AF37FA"/>
    <w:rsid w:val="00AF3A39"/>
    <w:rsid w:val="00AF506B"/>
    <w:rsid w:val="00AF5126"/>
    <w:rsid w:val="00AF5199"/>
    <w:rsid w:val="00B00A49"/>
    <w:rsid w:val="00B031D3"/>
    <w:rsid w:val="00B057C2"/>
    <w:rsid w:val="00B223E8"/>
    <w:rsid w:val="00B24299"/>
    <w:rsid w:val="00B26121"/>
    <w:rsid w:val="00B31679"/>
    <w:rsid w:val="00B37DB5"/>
    <w:rsid w:val="00B41005"/>
    <w:rsid w:val="00B41C78"/>
    <w:rsid w:val="00B47A76"/>
    <w:rsid w:val="00B50CD9"/>
    <w:rsid w:val="00B5129E"/>
    <w:rsid w:val="00B52966"/>
    <w:rsid w:val="00B627C5"/>
    <w:rsid w:val="00B63212"/>
    <w:rsid w:val="00B648C8"/>
    <w:rsid w:val="00B72E2B"/>
    <w:rsid w:val="00B763DC"/>
    <w:rsid w:val="00B80522"/>
    <w:rsid w:val="00B9269B"/>
    <w:rsid w:val="00B936EF"/>
    <w:rsid w:val="00B93A45"/>
    <w:rsid w:val="00B946E3"/>
    <w:rsid w:val="00B97350"/>
    <w:rsid w:val="00BA508D"/>
    <w:rsid w:val="00BB6251"/>
    <w:rsid w:val="00BC07DD"/>
    <w:rsid w:val="00BC1832"/>
    <w:rsid w:val="00BC3FDD"/>
    <w:rsid w:val="00BC5E78"/>
    <w:rsid w:val="00BC7BAF"/>
    <w:rsid w:val="00BD3D35"/>
    <w:rsid w:val="00BD46F5"/>
    <w:rsid w:val="00BD6185"/>
    <w:rsid w:val="00BE5B00"/>
    <w:rsid w:val="00BE7E1D"/>
    <w:rsid w:val="00BF03DD"/>
    <w:rsid w:val="00BF3A18"/>
    <w:rsid w:val="00BF50D3"/>
    <w:rsid w:val="00C002DC"/>
    <w:rsid w:val="00C01D07"/>
    <w:rsid w:val="00C06095"/>
    <w:rsid w:val="00C06C00"/>
    <w:rsid w:val="00C124DE"/>
    <w:rsid w:val="00C1341C"/>
    <w:rsid w:val="00C17CC1"/>
    <w:rsid w:val="00C24056"/>
    <w:rsid w:val="00C31D17"/>
    <w:rsid w:val="00C34190"/>
    <w:rsid w:val="00C407F1"/>
    <w:rsid w:val="00C467DC"/>
    <w:rsid w:val="00C474DC"/>
    <w:rsid w:val="00C52CB7"/>
    <w:rsid w:val="00C64C2C"/>
    <w:rsid w:val="00C7121B"/>
    <w:rsid w:val="00C72C9F"/>
    <w:rsid w:val="00C77AFF"/>
    <w:rsid w:val="00C82C46"/>
    <w:rsid w:val="00C84CFB"/>
    <w:rsid w:val="00C85B85"/>
    <w:rsid w:val="00C94661"/>
    <w:rsid w:val="00C946EE"/>
    <w:rsid w:val="00C964C1"/>
    <w:rsid w:val="00CA049F"/>
    <w:rsid w:val="00CA1D23"/>
    <w:rsid w:val="00CB0199"/>
    <w:rsid w:val="00CB456B"/>
    <w:rsid w:val="00CB4795"/>
    <w:rsid w:val="00CC0049"/>
    <w:rsid w:val="00CC4AB7"/>
    <w:rsid w:val="00CC6C2B"/>
    <w:rsid w:val="00CD16C0"/>
    <w:rsid w:val="00CD3F75"/>
    <w:rsid w:val="00CD7B02"/>
    <w:rsid w:val="00CE1B33"/>
    <w:rsid w:val="00CF4321"/>
    <w:rsid w:val="00CF4682"/>
    <w:rsid w:val="00D001E5"/>
    <w:rsid w:val="00D02C06"/>
    <w:rsid w:val="00D04AEC"/>
    <w:rsid w:val="00D069D1"/>
    <w:rsid w:val="00D07612"/>
    <w:rsid w:val="00D174AF"/>
    <w:rsid w:val="00D2078A"/>
    <w:rsid w:val="00D22949"/>
    <w:rsid w:val="00D22D2B"/>
    <w:rsid w:val="00D247F4"/>
    <w:rsid w:val="00D30EA8"/>
    <w:rsid w:val="00D31AF8"/>
    <w:rsid w:val="00D3257F"/>
    <w:rsid w:val="00D349FC"/>
    <w:rsid w:val="00D34E5B"/>
    <w:rsid w:val="00D3590E"/>
    <w:rsid w:val="00D35D85"/>
    <w:rsid w:val="00D40A30"/>
    <w:rsid w:val="00D42D24"/>
    <w:rsid w:val="00D43813"/>
    <w:rsid w:val="00D52A3A"/>
    <w:rsid w:val="00D5462D"/>
    <w:rsid w:val="00D55AA6"/>
    <w:rsid w:val="00D622E2"/>
    <w:rsid w:val="00D8178C"/>
    <w:rsid w:val="00D81839"/>
    <w:rsid w:val="00D83D9E"/>
    <w:rsid w:val="00D83F3E"/>
    <w:rsid w:val="00D86F81"/>
    <w:rsid w:val="00D91F1D"/>
    <w:rsid w:val="00DA05E4"/>
    <w:rsid w:val="00DA1626"/>
    <w:rsid w:val="00DA18D1"/>
    <w:rsid w:val="00DA51E8"/>
    <w:rsid w:val="00DB2484"/>
    <w:rsid w:val="00DB2D83"/>
    <w:rsid w:val="00DB4473"/>
    <w:rsid w:val="00DC2D58"/>
    <w:rsid w:val="00DC45DE"/>
    <w:rsid w:val="00DC6BBB"/>
    <w:rsid w:val="00DC7494"/>
    <w:rsid w:val="00DD4B3F"/>
    <w:rsid w:val="00DD6092"/>
    <w:rsid w:val="00DE6BDF"/>
    <w:rsid w:val="00DF05EB"/>
    <w:rsid w:val="00E01942"/>
    <w:rsid w:val="00E01DA3"/>
    <w:rsid w:val="00E0783B"/>
    <w:rsid w:val="00E133B6"/>
    <w:rsid w:val="00E16B44"/>
    <w:rsid w:val="00E26535"/>
    <w:rsid w:val="00E274C6"/>
    <w:rsid w:val="00E33B3C"/>
    <w:rsid w:val="00E37E65"/>
    <w:rsid w:val="00E44878"/>
    <w:rsid w:val="00E45208"/>
    <w:rsid w:val="00E611E0"/>
    <w:rsid w:val="00E6578F"/>
    <w:rsid w:val="00E77650"/>
    <w:rsid w:val="00E81E57"/>
    <w:rsid w:val="00E85F3B"/>
    <w:rsid w:val="00E87924"/>
    <w:rsid w:val="00E905F5"/>
    <w:rsid w:val="00E97C8F"/>
    <w:rsid w:val="00EA0654"/>
    <w:rsid w:val="00EA4213"/>
    <w:rsid w:val="00EA5F4C"/>
    <w:rsid w:val="00EB165A"/>
    <w:rsid w:val="00EB59C4"/>
    <w:rsid w:val="00EB5B1D"/>
    <w:rsid w:val="00EC02F2"/>
    <w:rsid w:val="00EC160F"/>
    <w:rsid w:val="00EC5138"/>
    <w:rsid w:val="00ED29C1"/>
    <w:rsid w:val="00EE001F"/>
    <w:rsid w:val="00EE29C2"/>
    <w:rsid w:val="00EE568F"/>
    <w:rsid w:val="00EE6179"/>
    <w:rsid w:val="00EF3CBE"/>
    <w:rsid w:val="00EF5173"/>
    <w:rsid w:val="00EF7083"/>
    <w:rsid w:val="00F0600E"/>
    <w:rsid w:val="00F115BB"/>
    <w:rsid w:val="00F11831"/>
    <w:rsid w:val="00F12162"/>
    <w:rsid w:val="00F13FEB"/>
    <w:rsid w:val="00F16C5B"/>
    <w:rsid w:val="00F17546"/>
    <w:rsid w:val="00F250D9"/>
    <w:rsid w:val="00F3225C"/>
    <w:rsid w:val="00F32FB9"/>
    <w:rsid w:val="00F3479B"/>
    <w:rsid w:val="00F414DB"/>
    <w:rsid w:val="00F4369E"/>
    <w:rsid w:val="00F44C8E"/>
    <w:rsid w:val="00F47A39"/>
    <w:rsid w:val="00F514B8"/>
    <w:rsid w:val="00F556ED"/>
    <w:rsid w:val="00F62BE7"/>
    <w:rsid w:val="00F653B9"/>
    <w:rsid w:val="00F656E7"/>
    <w:rsid w:val="00F664D5"/>
    <w:rsid w:val="00F66B1E"/>
    <w:rsid w:val="00F72635"/>
    <w:rsid w:val="00F84D16"/>
    <w:rsid w:val="00F9397C"/>
    <w:rsid w:val="00F9715B"/>
    <w:rsid w:val="00FB341E"/>
    <w:rsid w:val="00FC0179"/>
    <w:rsid w:val="00FC77CC"/>
    <w:rsid w:val="00FE4CA0"/>
    <w:rsid w:val="00FF24AF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DBD08"/>
  <w15:docId w15:val="{A7022E0A-5742-4445-8011-EAA39219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1E1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01D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F51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827B38"/>
  </w:style>
  <w:style w:type="character" w:styleId="a4">
    <w:name w:val="Hyperlink"/>
    <w:basedOn w:val="a1"/>
    <w:uiPriority w:val="99"/>
    <w:unhideWhenUsed/>
    <w:rsid w:val="00827B38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36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3673A2"/>
    <w:rPr>
      <w:rFonts w:ascii="Segoe UI" w:hAnsi="Segoe UI" w:cs="Segoe U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3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90D91"/>
  </w:style>
  <w:style w:type="paragraph" w:styleId="a9">
    <w:name w:val="footer"/>
    <w:basedOn w:val="a0"/>
    <w:link w:val="aa"/>
    <w:uiPriority w:val="99"/>
    <w:unhideWhenUsed/>
    <w:rsid w:val="003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90D91"/>
  </w:style>
  <w:style w:type="character" w:styleId="ab">
    <w:name w:val="Strong"/>
    <w:basedOn w:val="a1"/>
    <w:uiPriority w:val="22"/>
    <w:qFormat/>
    <w:rsid w:val="00F556ED"/>
    <w:rPr>
      <w:b/>
      <w:bCs/>
    </w:rPr>
  </w:style>
  <w:style w:type="paragraph" w:styleId="ac">
    <w:name w:val="No Spacing"/>
    <w:link w:val="ad"/>
    <w:uiPriority w:val="1"/>
    <w:qFormat/>
    <w:rsid w:val="00F556ED"/>
    <w:pPr>
      <w:spacing w:after="0" w:line="240" w:lineRule="auto"/>
    </w:pPr>
  </w:style>
  <w:style w:type="paragraph" w:styleId="ae">
    <w:name w:val="Body Text Indent"/>
    <w:basedOn w:val="a0"/>
    <w:link w:val="af"/>
    <w:uiPriority w:val="99"/>
    <w:semiHidden/>
    <w:unhideWhenUsed/>
    <w:rsid w:val="00105399"/>
    <w:pPr>
      <w:spacing w:after="120" w:line="240" w:lineRule="auto"/>
      <w:ind w:left="283"/>
    </w:pPr>
    <w:rPr>
      <w:rFonts w:eastAsiaTheme="minorEastAsia" w:cs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105399"/>
    <w:rPr>
      <w:rFonts w:eastAsiaTheme="minorEastAsia" w:cs="Times New Roman"/>
      <w:sz w:val="24"/>
      <w:szCs w:val="24"/>
    </w:rPr>
  </w:style>
  <w:style w:type="character" w:customStyle="1" w:styleId="s0">
    <w:name w:val="s0"/>
    <w:rsid w:val="003D79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0">
    <w:name w:val="Normal (Web)"/>
    <w:basedOn w:val="a0"/>
    <w:uiPriority w:val="99"/>
    <w:semiHidden/>
    <w:unhideWhenUsed/>
    <w:rsid w:val="0061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E1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Без интервала Знак"/>
    <w:link w:val="ac"/>
    <w:uiPriority w:val="1"/>
    <w:locked/>
    <w:rsid w:val="002328E5"/>
  </w:style>
  <w:style w:type="table" w:styleId="af1">
    <w:name w:val="Table Grid"/>
    <w:aliases w:val="Обозначения"/>
    <w:basedOn w:val="a2"/>
    <w:uiPriority w:val="59"/>
    <w:rsid w:val="00794EB5"/>
    <w:pPr>
      <w:spacing w:after="0" w:line="240" w:lineRule="auto"/>
    </w:pPr>
    <w:rPr>
      <w:rFonts w:ascii="Arial" w:eastAsia="Arial" w:hAnsi="Arial" w:cs="Arial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0"/>
    <w:link w:val="Tabletext0"/>
    <w:qFormat/>
    <w:rsid w:val="00320A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abletext0">
    <w:name w:val="Table text Знак"/>
    <w:link w:val="Tabletext"/>
    <w:rsid w:val="00320AC6"/>
    <w:rPr>
      <w:rFonts w:ascii="Times New Roman" w:eastAsia="Calibri" w:hAnsi="Times New Roman" w:cs="Times New Roman"/>
      <w:sz w:val="24"/>
    </w:rPr>
  </w:style>
  <w:style w:type="character" w:customStyle="1" w:styleId="s1">
    <w:name w:val="s1"/>
    <w:rsid w:val="00211EF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highlight">
    <w:name w:val="highlight"/>
    <w:basedOn w:val="a1"/>
    <w:rsid w:val="00F664D5"/>
  </w:style>
  <w:style w:type="character" w:styleId="af2">
    <w:name w:val="Emphasis"/>
    <w:basedOn w:val="a1"/>
    <w:qFormat/>
    <w:rsid w:val="00F664D5"/>
    <w:rPr>
      <w:i/>
      <w:iCs/>
    </w:rPr>
  </w:style>
  <w:style w:type="paragraph" w:styleId="af3">
    <w:name w:val="List Paragraph"/>
    <w:aliases w:val="Heading1,Colorful List - Accent 11,Colorful List - Accent 11CxSpLast,H1-1,Заголовок3,маркированный,Bullet List,FooterText,numbered,Содержание. 2 уровень,AC List 01,Bullets before,без абзаца,References,Bullet 1,Списки"/>
    <w:basedOn w:val="a0"/>
    <w:link w:val="af4"/>
    <w:uiPriority w:val="34"/>
    <w:qFormat/>
    <w:rsid w:val="002A41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">
    <w:name w:val="caption"/>
    <w:basedOn w:val="a0"/>
    <w:next w:val="a0"/>
    <w:link w:val="af5"/>
    <w:uiPriority w:val="35"/>
    <w:qFormat/>
    <w:rsid w:val="00401DD4"/>
    <w:pPr>
      <w:numPr>
        <w:ilvl w:val="3"/>
        <w:numId w:val="3"/>
      </w:numPr>
      <w:tabs>
        <w:tab w:val="left" w:pos="993"/>
      </w:tabs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5">
    <w:name w:val="Название объекта Знак"/>
    <w:link w:val="a"/>
    <w:uiPriority w:val="35"/>
    <w:qFormat/>
    <w:locked/>
    <w:rsid w:val="00401DD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1">
    <w:name w:val="Обычный1"/>
    <w:basedOn w:val="a0"/>
    <w:qFormat/>
    <w:rsid w:val="00401DD4"/>
    <w:pPr>
      <w:suppressAutoHyphens/>
      <w:spacing w:after="0" w:line="240" w:lineRule="auto"/>
      <w:ind w:firstLine="720"/>
      <w:jc w:val="both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21">
    <w:name w:val="Заголовок 2 + курсив"/>
    <w:aliases w:val="Перед:  6 пт,После:  3 пт,Междустр.интервал:  одинарн..."/>
    <w:basedOn w:val="2"/>
    <w:rsid w:val="00401DD4"/>
    <w:pPr>
      <w:keepLines w:val="0"/>
      <w:widowControl w:val="0"/>
      <w:tabs>
        <w:tab w:val="num" w:pos="360"/>
        <w:tab w:val="left" w:pos="1134"/>
      </w:tabs>
      <w:spacing w:before="0" w:line="240" w:lineRule="auto"/>
      <w:ind w:left="1069"/>
      <w:contextualSpacing/>
    </w:pPr>
    <w:rPr>
      <w:rFonts w:asciiTheme="minorHAnsi" w:eastAsia="MS Mincho" w:hAnsiTheme="minorHAnsi" w:cstheme="minorHAnsi"/>
      <w:bCs w:val="0"/>
      <w:color w:val="auto"/>
      <w:kern w:val="28"/>
      <w:sz w:val="24"/>
      <w:szCs w:val="24"/>
      <w:lang w:eastAsia="ru-RU"/>
    </w:rPr>
  </w:style>
  <w:style w:type="paragraph" w:customStyle="1" w:styleId="12">
    <w:name w:val="заголовок 1"/>
    <w:basedOn w:val="a0"/>
    <w:next w:val="a0"/>
    <w:rsid w:val="00401DD4"/>
    <w:pPr>
      <w:keepNext/>
      <w:tabs>
        <w:tab w:val="left" w:pos="993"/>
      </w:tabs>
      <w:spacing w:after="0" w:line="240" w:lineRule="auto"/>
      <w:ind w:left="927" w:hanging="360"/>
      <w:outlineLvl w:val="0"/>
    </w:pPr>
    <w:rPr>
      <w:rFonts w:ascii="Baltica" w:eastAsia="Times New Roman" w:hAnsi="Baltica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01D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AF51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Body Text"/>
    <w:basedOn w:val="a0"/>
    <w:link w:val="af7"/>
    <w:uiPriority w:val="99"/>
    <w:semiHidden/>
    <w:unhideWhenUsed/>
    <w:rsid w:val="00035A8D"/>
    <w:pPr>
      <w:spacing w:after="120"/>
    </w:pPr>
  </w:style>
  <w:style w:type="character" w:customStyle="1" w:styleId="af7">
    <w:name w:val="Основной текст Знак"/>
    <w:basedOn w:val="a1"/>
    <w:link w:val="af6"/>
    <w:uiPriority w:val="99"/>
    <w:semiHidden/>
    <w:rsid w:val="00035A8D"/>
  </w:style>
  <w:style w:type="character" w:customStyle="1" w:styleId="af4">
    <w:name w:val="Абзац списка Знак"/>
    <w:aliases w:val="Heading1 Знак,Colorful List - Accent 11 Знак,Colorful List - Accent 11CxSpLast Знак,H1-1 Знак,Заголовок3 Знак,маркированный Знак,Bullet List Знак,FooterText Знак,numbered Знак,Содержание. 2 уровень Знак,AC List 01 Знак,без абзаца Знак"/>
    <w:link w:val="af3"/>
    <w:uiPriority w:val="34"/>
    <w:qFormat/>
    <w:locked/>
    <w:rsid w:val="00035A8D"/>
    <w:rPr>
      <w:rFonts w:ascii="Calibri" w:eastAsia="Times New Roman" w:hAnsi="Calibri" w:cs="Times New Roman"/>
      <w:lang w:eastAsia="ru-RU"/>
    </w:rPr>
  </w:style>
  <w:style w:type="paragraph" w:customStyle="1" w:styleId="22">
    <w:name w:val="Обычный2"/>
    <w:qFormat/>
    <w:rsid w:val="00035A8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Азамат Курманов</dc:creator>
  <cp:lastModifiedBy>Даурен Ошакбай</cp:lastModifiedBy>
  <cp:revision>10</cp:revision>
  <cp:lastPrinted>2021-09-15T04:39:00Z</cp:lastPrinted>
  <dcterms:created xsi:type="dcterms:W3CDTF">2023-04-24T04:01:00Z</dcterms:created>
  <dcterms:modified xsi:type="dcterms:W3CDTF">2025-02-07T11:58:00Z</dcterms:modified>
</cp:coreProperties>
</file>