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533D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ТЕХНИЧЕСКАЯ СПЕЦИФИКАЦИЯ</w:t>
      </w:r>
    </w:p>
    <w:p w14:paraId="0BBD3669">
      <w:pPr>
        <w:jc w:val="both"/>
        <w:rPr>
          <w:b/>
          <w:sz w:val="22"/>
          <w:szCs w:val="22"/>
        </w:rPr>
      </w:pPr>
    </w:p>
    <w:p w14:paraId="57AC1D4E">
      <w:pPr>
        <w:jc w:val="both"/>
        <w:rPr>
          <w:b/>
          <w:sz w:val="22"/>
          <w:szCs w:val="22"/>
        </w:rPr>
      </w:pPr>
    </w:p>
    <w:p w14:paraId="5776403A">
      <w:pPr>
        <w:pStyle w:val="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Услуги по обязательному страхованию гражданско-правовой ответственности перевозчика перед пассажирами (ОГПО ПП).</w:t>
      </w:r>
    </w:p>
    <w:p w14:paraId="62814ED4">
      <w:pPr>
        <w:pStyle w:val="8"/>
        <w:ind w:firstLine="708"/>
        <w:jc w:val="both"/>
        <w:rPr>
          <w:b/>
          <w:sz w:val="22"/>
          <w:szCs w:val="22"/>
        </w:rPr>
      </w:pPr>
    </w:p>
    <w:p w14:paraId="11328BC3">
      <w:pPr>
        <w:pStyle w:val="8"/>
        <w:jc w:val="both"/>
        <w:rPr>
          <w:sz w:val="22"/>
          <w:szCs w:val="22"/>
        </w:rPr>
      </w:pPr>
      <w:r>
        <w:rPr>
          <w:bCs/>
          <w:sz w:val="22"/>
          <w:szCs w:val="22"/>
        </w:rPr>
        <w:t>Страхование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осуществляется</w:t>
      </w:r>
      <w:r>
        <w:rPr>
          <w:sz w:val="22"/>
          <w:szCs w:val="22"/>
        </w:rPr>
        <w:t xml:space="preserve"> на </w:t>
      </w:r>
      <w:r>
        <w:rPr>
          <w:bCs/>
          <w:sz w:val="22"/>
          <w:szCs w:val="22"/>
        </w:rPr>
        <w:t>основании</w:t>
      </w:r>
      <w:r>
        <w:rPr>
          <w:sz w:val="22"/>
          <w:szCs w:val="22"/>
        </w:rPr>
        <w:t xml:space="preserve"> Закона </w:t>
      </w:r>
      <w:r>
        <w:rPr>
          <w:bCs/>
          <w:sz w:val="22"/>
          <w:szCs w:val="22"/>
        </w:rPr>
        <w:t>РК</w:t>
      </w:r>
      <w:r>
        <w:rPr>
          <w:bCs/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444-II от 1 июля 2003 «Об обязательном </w:t>
      </w:r>
      <w:r>
        <w:rPr>
          <w:bCs/>
          <w:sz w:val="22"/>
          <w:szCs w:val="22"/>
        </w:rPr>
        <w:t>страховании</w:t>
      </w:r>
      <w:r>
        <w:rPr>
          <w:sz w:val="22"/>
          <w:szCs w:val="22"/>
        </w:rPr>
        <w:t xml:space="preserve"> гражданско-правовой ответственности перевозчика перед пассажирами».</w:t>
      </w:r>
    </w:p>
    <w:p w14:paraId="1510B392">
      <w:pPr>
        <w:pStyle w:val="8"/>
        <w:jc w:val="both"/>
        <w:rPr>
          <w:sz w:val="22"/>
          <w:szCs w:val="22"/>
        </w:rPr>
      </w:pPr>
    </w:p>
    <w:p w14:paraId="402AE32A">
      <w:pPr>
        <w:pStyle w:val="8"/>
        <w:ind w:firstLine="708"/>
        <w:jc w:val="both"/>
        <w:rPr>
          <w:sz w:val="28"/>
          <w:szCs w:val="28"/>
        </w:rPr>
      </w:pPr>
    </w:p>
    <w:p w14:paraId="1F897B0D">
      <w:pPr>
        <w:pStyle w:val="8"/>
        <w:ind w:firstLine="708"/>
        <w:jc w:val="both"/>
        <w:rPr>
          <w:color w:val="FF0000"/>
          <w:sz w:val="28"/>
          <w:szCs w:val="28"/>
        </w:rPr>
      </w:pPr>
      <w:r>
        <w:rPr>
          <w:rFonts w:hint="default"/>
          <w:color w:val="FF0000"/>
          <w:sz w:val="28"/>
          <w:szCs w:val="28"/>
        </w:rPr>
        <w:t>п. 6 ст. 6 Закона Республики Казахстан «О государственных закупках» «Страховые агенты и страховые брокеры не вправе участвовать в государственных закупках по предоставлению услуг, связанных с заключением договора страхования». Согласно п. 6 статьи 18 Закона Республики Казахстан от 18 декабря 2000 года № 126-II «О страховой деятельности» не допускается осуществление посреднической деятельности страховых агентов по договорам страхования, заключаемым в рамках государственных закупок в соответствии с Законом Республики Казахстан «О государственных закупках».</w:t>
      </w:r>
    </w:p>
    <w:p w14:paraId="350706D7">
      <w:pPr>
        <w:pStyle w:val="8"/>
        <w:ind w:firstLine="708"/>
        <w:jc w:val="both"/>
        <w:rPr>
          <w:sz w:val="28"/>
          <w:szCs w:val="28"/>
        </w:rPr>
      </w:pPr>
    </w:p>
    <w:p w14:paraId="1CFA803C">
      <w:pPr>
        <w:pStyle w:val="8"/>
        <w:ind w:firstLine="708"/>
        <w:jc w:val="both"/>
        <w:rPr>
          <w:sz w:val="28"/>
          <w:szCs w:val="28"/>
        </w:rPr>
      </w:pPr>
    </w:p>
    <w:p w14:paraId="6E32843C">
      <w:pPr>
        <w:pStyle w:val="8"/>
        <w:ind w:firstLine="708"/>
        <w:jc w:val="both"/>
        <w:rPr>
          <w:sz w:val="28"/>
          <w:szCs w:val="28"/>
        </w:rPr>
      </w:pPr>
    </w:p>
    <w:p w14:paraId="23B8ED96">
      <w:pPr>
        <w:pStyle w:val="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Срок действия страхового полиса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lang w:val="kk-KZ"/>
        </w:rPr>
        <w:t xml:space="preserve"> месяцев со дня получения Заказчиком</w:t>
      </w:r>
    </w:p>
    <w:p w14:paraId="1A5C6C57">
      <w:pPr>
        <w:rPr>
          <w:b/>
          <w:sz w:val="28"/>
          <w:szCs w:val="28"/>
          <w:lang w:val="kk-KZ"/>
        </w:rPr>
      </w:pPr>
    </w:p>
    <w:p w14:paraId="7B750B8D">
      <w:pPr>
        <w:pStyle w:val="8"/>
        <w:ind w:firstLine="3082" w:firstLineChars="1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ТЕХНИКАЛЫҚ ЕРЕКШЕЛІГІ</w:t>
      </w:r>
    </w:p>
    <w:p w14:paraId="2A4D72A1">
      <w:pPr>
        <w:pStyle w:val="8"/>
        <w:jc w:val="center"/>
        <w:rPr>
          <w:b/>
          <w:sz w:val="28"/>
          <w:szCs w:val="28"/>
        </w:rPr>
      </w:pPr>
    </w:p>
    <w:p w14:paraId="6A0EC3E1">
      <w:pPr>
        <w:pStyle w:val="8"/>
        <w:jc w:val="center"/>
        <w:rPr>
          <w:b/>
          <w:sz w:val="28"/>
          <w:szCs w:val="28"/>
        </w:rPr>
      </w:pPr>
    </w:p>
    <w:p w14:paraId="3CCB0001">
      <w:pPr>
        <w:pStyle w:val="8"/>
        <w:jc w:val="center"/>
        <w:rPr>
          <w:b/>
          <w:sz w:val="28"/>
          <w:szCs w:val="28"/>
        </w:rPr>
      </w:pPr>
    </w:p>
    <w:p w14:paraId="6D615C29">
      <w:pPr>
        <w:pStyle w:val="8"/>
        <w:jc w:val="center"/>
        <w:rPr>
          <w:b/>
          <w:sz w:val="22"/>
          <w:szCs w:val="28"/>
        </w:rPr>
      </w:pPr>
    </w:p>
    <w:p w14:paraId="5DF34B6B">
      <w:pPr>
        <w:pStyle w:val="8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Тасымалдаушының жолаушылар алдындағы азаматтық-құқықтық жауапкершілігін міндетті сақтандыру бойынша қызметтер. </w:t>
      </w:r>
    </w:p>
    <w:p w14:paraId="27165934">
      <w:pPr>
        <w:pStyle w:val="8"/>
        <w:jc w:val="both"/>
        <w:rPr>
          <w:b/>
          <w:sz w:val="22"/>
          <w:szCs w:val="28"/>
        </w:rPr>
      </w:pPr>
    </w:p>
    <w:p w14:paraId="6FFF0836">
      <w:pPr>
        <w:pStyle w:val="8"/>
        <w:jc w:val="both"/>
        <w:rPr>
          <w:sz w:val="22"/>
          <w:szCs w:val="28"/>
        </w:rPr>
      </w:pPr>
      <w:r>
        <w:rPr>
          <w:sz w:val="22"/>
          <w:szCs w:val="28"/>
        </w:rPr>
        <w:t>Сақтандыру Қазақстан Республикасының 2003 жылғы 1 шілдедегі «Тасымалдаушының жолаушылар алдындағы азаматтық-құқықтық жауапкершілігін міндетті сақтандыру туралы» 444-II Заңының негізінде жүзеге асырылады.</w:t>
      </w:r>
    </w:p>
    <w:p w14:paraId="3BE85F66">
      <w:pPr>
        <w:pStyle w:val="8"/>
        <w:jc w:val="center"/>
        <w:rPr>
          <w:b/>
          <w:sz w:val="28"/>
          <w:szCs w:val="28"/>
        </w:rPr>
      </w:pPr>
    </w:p>
    <w:p w14:paraId="09D1A109">
      <w:pPr>
        <w:pStyle w:val="8"/>
        <w:jc w:val="center"/>
        <w:rPr>
          <w:b/>
          <w:color w:val="FF0000"/>
          <w:sz w:val="28"/>
          <w:szCs w:val="28"/>
        </w:rPr>
      </w:pPr>
      <w:r>
        <w:rPr>
          <w:rFonts w:hint="default"/>
          <w:b/>
          <w:color w:val="FF0000"/>
          <w:sz w:val="28"/>
          <w:szCs w:val="28"/>
        </w:rPr>
        <w:t>п. 6 ст. 6 Закона Республики Казахстан «О государственных закупках» «Страховые агенты и страховые брокеры не вправе участвовать в государственных закупках по предоставлению услуг, связанных с заключением договора страхования». Согласно п. 6 статьи 18 Закона Республики Казахстан от 18 декабря 2000 года № 126-II «О страховой деятельности» не допускается осуществление посреднической деятельности страховых агентов по договорам страхования, заключаемым в рамках государственных закупок в соответствии с Законом Республики Казахстан «О государственных закупках».</w:t>
      </w:r>
    </w:p>
    <w:p w14:paraId="68B238D3">
      <w:pPr>
        <w:pStyle w:val="8"/>
        <w:jc w:val="center"/>
        <w:rPr>
          <w:b/>
          <w:sz w:val="28"/>
          <w:szCs w:val="28"/>
        </w:rPr>
      </w:pPr>
    </w:p>
    <w:p w14:paraId="77511D14">
      <w:pPr>
        <w:pStyle w:val="8"/>
        <w:jc w:val="center"/>
        <w:rPr>
          <w:b/>
          <w:sz w:val="28"/>
          <w:szCs w:val="28"/>
        </w:rPr>
      </w:pPr>
    </w:p>
    <w:p w14:paraId="19C58483">
      <w:pPr>
        <w:pStyle w:val="8"/>
        <w:jc w:val="center"/>
        <w:rPr>
          <w:b/>
          <w:sz w:val="28"/>
          <w:szCs w:val="28"/>
        </w:rPr>
      </w:pPr>
    </w:p>
    <w:p w14:paraId="1F994147">
      <w:pPr>
        <w:pStyle w:val="8"/>
        <w:jc w:val="center"/>
        <w:rPr>
          <w:b/>
          <w:sz w:val="28"/>
          <w:szCs w:val="28"/>
        </w:rPr>
      </w:pPr>
    </w:p>
    <w:p w14:paraId="24D9E6A2">
      <w:pPr>
        <w:pStyle w:val="8"/>
        <w:jc w:val="center"/>
        <w:rPr>
          <w:b/>
          <w:sz w:val="28"/>
          <w:szCs w:val="28"/>
        </w:rPr>
      </w:pPr>
    </w:p>
    <w:p w14:paraId="0FE48A3B">
      <w:pPr>
        <w:rPr>
          <w:b/>
          <w:sz w:val="28"/>
          <w:szCs w:val="28"/>
          <w:lang w:val="kk-KZ"/>
        </w:rPr>
      </w:pPr>
      <w:bookmarkStart w:id="0" w:name="_GoBack"/>
      <w:bookmarkEnd w:id="0"/>
    </w:p>
    <w:sectPr>
      <w:pgSz w:w="11906" w:h="16838"/>
      <w:pgMar w:top="567" w:right="850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92"/>
    <w:rsid w:val="00035122"/>
    <w:rsid w:val="0004595F"/>
    <w:rsid w:val="00050A99"/>
    <w:rsid w:val="000530AF"/>
    <w:rsid w:val="000534DE"/>
    <w:rsid w:val="000B2305"/>
    <w:rsid w:val="000C6125"/>
    <w:rsid w:val="001040C5"/>
    <w:rsid w:val="00107CA4"/>
    <w:rsid w:val="0014230A"/>
    <w:rsid w:val="001855D7"/>
    <w:rsid w:val="00217575"/>
    <w:rsid w:val="0022406A"/>
    <w:rsid w:val="00225623"/>
    <w:rsid w:val="00274715"/>
    <w:rsid w:val="0028177F"/>
    <w:rsid w:val="00296A8F"/>
    <w:rsid w:val="002B5701"/>
    <w:rsid w:val="002D0AD3"/>
    <w:rsid w:val="003104E1"/>
    <w:rsid w:val="00335E68"/>
    <w:rsid w:val="00346F38"/>
    <w:rsid w:val="003D2242"/>
    <w:rsid w:val="003D6E63"/>
    <w:rsid w:val="003E6411"/>
    <w:rsid w:val="004472A2"/>
    <w:rsid w:val="004643C6"/>
    <w:rsid w:val="004E0CB2"/>
    <w:rsid w:val="00515F68"/>
    <w:rsid w:val="0053610A"/>
    <w:rsid w:val="00572D83"/>
    <w:rsid w:val="005A507B"/>
    <w:rsid w:val="005B2B02"/>
    <w:rsid w:val="005B6378"/>
    <w:rsid w:val="005E590F"/>
    <w:rsid w:val="00664075"/>
    <w:rsid w:val="006A79DE"/>
    <w:rsid w:val="006F3C92"/>
    <w:rsid w:val="00700FA4"/>
    <w:rsid w:val="0070658A"/>
    <w:rsid w:val="00734B78"/>
    <w:rsid w:val="00771E80"/>
    <w:rsid w:val="007A2A4E"/>
    <w:rsid w:val="007D35A3"/>
    <w:rsid w:val="00803179"/>
    <w:rsid w:val="00827C81"/>
    <w:rsid w:val="008835C1"/>
    <w:rsid w:val="00893F62"/>
    <w:rsid w:val="00915421"/>
    <w:rsid w:val="00936935"/>
    <w:rsid w:val="00975236"/>
    <w:rsid w:val="00990C53"/>
    <w:rsid w:val="009B32AD"/>
    <w:rsid w:val="00A00154"/>
    <w:rsid w:val="00AB3416"/>
    <w:rsid w:val="00AD70DD"/>
    <w:rsid w:val="00B10C20"/>
    <w:rsid w:val="00B20D98"/>
    <w:rsid w:val="00B41B1E"/>
    <w:rsid w:val="00B4304C"/>
    <w:rsid w:val="00B5228B"/>
    <w:rsid w:val="00B6712D"/>
    <w:rsid w:val="00B74458"/>
    <w:rsid w:val="00B9108C"/>
    <w:rsid w:val="00BE5774"/>
    <w:rsid w:val="00BE65E0"/>
    <w:rsid w:val="00C14B49"/>
    <w:rsid w:val="00C37461"/>
    <w:rsid w:val="00C56CF0"/>
    <w:rsid w:val="00C572A2"/>
    <w:rsid w:val="00C834CE"/>
    <w:rsid w:val="00D022DF"/>
    <w:rsid w:val="00D42B5A"/>
    <w:rsid w:val="00D43B42"/>
    <w:rsid w:val="00D50824"/>
    <w:rsid w:val="00D54E35"/>
    <w:rsid w:val="00D670F8"/>
    <w:rsid w:val="00D7595D"/>
    <w:rsid w:val="00D768B9"/>
    <w:rsid w:val="00D94959"/>
    <w:rsid w:val="00DD2F03"/>
    <w:rsid w:val="00E1573E"/>
    <w:rsid w:val="00EC6132"/>
    <w:rsid w:val="00ED7D0B"/>
    <w:rsid w:val="00EE19AB"/>
    <w:rsid w:val="00F21D47"/>
    <w:rsid w:val="00F80CF9"/>
    <w:rsid w:val="00F8272C"/>
    <w:rsid w:val="00F862A9"/>
    <w:rsid w:val="00F9374A"/>
    <w:rsid w:val="0EED214D"/>
    <w:rsid w:val="36F2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 Indent"/>
    <w:basedOn w:val="1"/>
    <w:link w:val="7"/>
    <w:qFormat/>
    <w:uiPriority w:val="0"/>
    <w:pPr>
      <w:ind w:firstLine="851"/>
    </w:pPr>
    <w:rPr>
      <w:sz w:val="28"/>
      <w:szCs w:val="20"/>
    </w:r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с отступом Знак"/>
    <w:link w:val="5"/>
    <w:uiPriority w:val="0"/>
    <w:rPr>
      <w:sz w:val="28"/>
      <w:lang w:val="ru-RU" w:eastAsia="ru-RU" w:bidi="ar-SA"/>
    </w:rPr>
  </w:style>
  <w:style w:type="paragraph" w:customStyle="1" w:styleId="8">
    <w:name w:val="Без интервала1"/>
    <w:uiPriority w:val="0"/>
    <w:pPr>
      <w:suppressAutoHyphens/>
      <w:spacing w:line="100" w:lineRule="atLeast"/>
    </w:pPr>
    <w:rPr>
      <w:rFonts w:ascii="Times New Roman" w:hAnsi="Times New Roman" w:eastAsia="Times New Roman" w:cs="Times New Roman"/>
      <w:kern w:val="1"/>
      <w:sz w:val="24"/>
      <w:szCs w:val="24"/>
      <w:lang w:val="ru-RU" w:eastAsia="ar-SA" w:bidi="ar-SA"/>
    </w:rPr>
  </w:style>
  <w:style w:type="paragraph" w:customStyle="1" w:styleId="9">
    <w:name w:val="Знак Знак Знак1 Знак Знак Знак Знак Знак Знак Знак Знак Знак Знак Знак Знак Знак Знак Знак Знак"/>
    <w:basedOn w:val="1"/>
    <w:autoRedefine/>
    <w:qFormat/>
    <w:uiPriority w:val="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before="47"/>
      <w:ind w:left="100"/>
    </w:pPr>
    <w:rPr>
      <w:rFonts w:ascii="Arial" w:hAnsi="Arial" w:eastAsia="Arial" w:cs="Arial"/>
      <w:sz w:val="22"/>
      <w:szCs w:val="22"/>
      <w:lang w:val="kk-KZ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A978-0C97-42E1-A55A-EB630EFAF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262</Words>
  <Characters>1500</Characters>
  <Lines>12</Lines>
  <Paragraphs>3</Paragraphs>
  <TotalTime>1</TotalTime>
  <ScaleCrop>false</ScaleCrop>
  <LinksUpToDate>false</LinksUpToDate>
  <CharactersWithSpaces>1759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2024-02-21T05:42:00Z</dcterms:created>
  <dc:creator>Пользователь</dc:creator>
  <cp:lastModifiedBy>WPS_1710408825</cp:lastModifiedBy>
  <cp:lastPrinted>2022-10-20T08:51:00Z</cp:lastPrinted>
  <dcterms:modified xsi:type="dcterms:W3CDTF">2024-11-04T05:18:10Z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4871588E2E36493585965ED98E1F33C4_13</vt:lpwstr>
  </property>
</Properties>
</file>