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954" w:hanging="0"/>
        <w:rPr>
          <w:sz w:val="18"/>
          <w:szCs w:val="18"/>
        </w:rPr>
      </w:pPr>
      <w:r>
        <w:rPr>
          <w:sz w:val="18"/>
          <w:szCs w:val="18"/>
        </w:rPr>
        <w:t>Приложение №1</w:t>
      </w:r>
    </w:p>
    <w:p>
      <w:pPr>
        <w:pStyle w:val="Normal"/>
        <w:ind w:left="5954" w:hanging="0"/>
        <w:rPr>
          <w:sz w:val="18"/>
          <w:szCs w:val="18"/>
        </w:rPr>
      </w:pPr>
      <w:r>
        <w:rPr>
          <w:sz w:val="18"/>
          <w:szCs w:val="18"/>
        </w:rPr>
        <w:t>к Правилам осуществления государственных закупок</w:t>
      </w:r>
    </w:p>
    <w:p>
      <w:pPr>
        <w:pStyle w:val="Normal"/>
        <w:ind w:left="5954" w:hanging="0"/>
        <w:rPr>
          <w:sz w:val="18"/>
          <w:szCs w:val="18"/>
          <w:highlight w:val="yellow"/>
        </w:rPr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Техническая характеристика</w:t>
      </w:r>
    </w:p>
    <w:p>
      <w:pPr>
        <w:pStyle w:val="Normal"/>
        <w:jc w:val="center"/>
        <w:rPr>
          <w:b/>
          <w:b/>
        </w:rPr>
      </w:pPr>
      <w:r>
        <w:rPr>
          <w:b/>
        </w:rPr>
        <w:t>на услуги кабельного телевидения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>Вид услуги:</w:t>
      </w:r>
    </w:p>
    <w:p>
      <w:pPr>
        <w:pStyle w:val="Normal"/>
        <w:ind w:firstLine="709"/>
        <w:jc w:val="both"/>
        <w:rPr/>
      </w:pPr>
      <w:r>
        <w:rPr/>
        <w:t>- предоставление услуг кабельного телевидения в системе аналогового и цифрового телевещания.</w:t>
      </w:r>
    </w:p>
    <w:p>
      <w:pPr>
        <w:pStyle w:val="Normal"/>
        <w:ind w:firstLine="709"/>
        <w:jc w:val="both"/>
        <w:rPr/>
      </w:pPr>
      <w:r>
        <w:rPr>
          <w:b/>
        </w:rPr>
        <w:t>Характеристики услуги</w:t>
      </w:r>
      <w:r>
        <w:rPr/>
        <w:t>:</w:t>
      </w:r>
    </w:p>
    <w:p>
      <w:pPr>
        <w:pStyle w:val="Normal"/>
        <w:ind w:firstLine="709"/>
        <w:jc w:val="both"/>
        <w:rPr/>
      </w:pPr>
      <w:r>
        <w:rPr/>
        <w:t>- система кабельного аналогового и цифрового телевизионного вещания должна состоять из функциональных блоков оборудования, определяющих способы формирования и коммутации программ, вида модуляции для обеспечения возможности трансляции в кабельной сети и приема телевизионным приемником (абонентским устройством);</w:t>
      </w:r>
    </w:p>
    <w:p>
      <w:pPr>
        <w:pStyle w:val="Normal"/>
        <w:ind w:firstLine="709"/>
        <w:jc w:val="both"/>
        <w:rPr/>
      </w:pPr>
      <w:r>
        <w:rPr/>
        <w:t>- аналоговая система должна использоваться совместно с цифровыми системами многопрограммного телевидения и использоваться для распределения программ абоненту. Система аналогового телевещания должна быть основана на амплитудной модуляции видеосигнала (негативная модуляция) и частотной модуляции канала звукового сопровождения с поддержкой формата «PAL-D/K».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>Характеристики абонентского устройства:</w:t>
      </w:r>
    </w:p>
    <w:p>
      <w:pPr>
        <w:pStyle w:val="Normal"/>
        <w:ind w:firstLine="709"/>
        <w:jc w:val="both"/>
        <w:rPr/>
      </w:pPr>
      <w:r>
        <w:rPr/>
        <w:t>- абонентским устройством должны являться телевизор и телевизионная приставка (в случае ее надобности).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>Тюнер (аналоговое ТВ):</w:t>
      </w:r>
    </w:p>
    <w:p>
      <w:pPr>
        <w:pStyle w:val="Normal"/>
        <w:ind w:firstLine="709"/>
        <w:jc w:val="both"/>
        <w:rPr/>
      </w:pPr>
      <w:r>
        <w:rPr/>
        <w:t>Диапазон входных частот:</w:t>
        <w:tab/>
        <w:tab/>
        <w:t>48~860</w:t>
      </w:r>
      <w:r>
        <w:rPr>
          <w:lang w:val="en-US"/>
        </w:rPr>
        <w:t>MHz</w:t>
      </w:r>
      <w:r>
        <w:rPr/>
        <w:t xml:space="preserve"> (стандарт D/K-</w:t>
      </w:r>
      <w:r>
        <w:rPr>
          <w:lang w:val="en-US"/>
        </w:rPr>
        <w:t>OIRT</w:t>
      </w:r>
      <w:r>
        <w:rPr/>
        <w:t>)</w:t>
      </w:r>
    </w:p>
    <w:p>
      <w:pPr>
        <w:pStyle w:val="Normal"/>
        <w:ind w:firstLine="709"/>
        <w:jc w:val="both"/>
        <w:rPr/>
      </w:pPr>
      <w:r>
        <w:rPr/>
        <w:t xml:space="preserve">Входной уровень сигнала: </w:t>
        <w:tab/>
        <w:tab/>
        <w:t>-75~+75</w:t>
      </w:r>
      <w:r>
        <w:rPr>
          <w:lang w:val="en-US"/>
        </w:rPr>
        <w:t>dBmV</w:t>
      </w:r>
    </w:p>
    <w:p>
      <w:pPr>
        <w:pStyle w:val="Normal"/>
        <w:ind w:firstLine="709"/>
        <w:jc w:val="both"/>
        <w:rPr/>
      </w:pPr>
      <w:r>
        <w:rPr/>
        <w:t>Входное сопротивление (Импеданс):</w:t>
        <w:tab/>
        <w:t xml:space="preserve">75 </w:t>
      </w:r>
      <w:r>
        <w:rPr>
          <w:lang w:val="en-US"/>
        </w:rPr>
        <w:t>Om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>Видеодекодер:</w:t>
      </w:r>
    </w:p>
    <w:p>
      <w:pPr>
        <w:pStyle w:val="Normal"/>
        <w:ind w:firstLine="709"/>
        <w:jc w:val="both"/>
        <w:rPr/>
      </w:pPr>
      <w:r>
        <w:rPr/>
        <w:t xml:space="preserve">Стандарт выходного сигнала: </w:t>
        <w:tab/>
        <w:t xml:space="preserve">               «</w:t>
      </w:r>
      <w:r>
        <w:rPr>
          <w:lang w:val="en-US"/>
        </w:rPr>
        <w:t>PAL</w:t>
      </w:r>
      <w:r>
        <w:rPr/>
        <w:t>»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  <w:t>Аудиодекодер:</w:t>
      </w:r>
    </w:p>
    <w:p>
      <w:pPr>
        <w:pStyle w:val="Normal"/>
        <w:ind w:firstLine="709"/>
        <w:jc w:val="both"/>
        <w:rPr/>
      </w:pPr>
      <w:r>
        <w:rPr/>
        <w:t>Вид выходного сигнала:</w:t>
        <w:tab/>
        <w:tab/>
        <w:t xml:space="preserve">               </w:t>
      </w:r>
      <w:r>
        <w:rPr>
          <w:lang w:val="en-US"/>
        </w:rPr>
        <w:t>mono</w:t>
      </w:r>
      <w:r>
        <w:rPr/>
        <w:t xml:space="preserve">, </w:t>
      </w:r>
      <w:r>
        <w:rPr>
          <w:lang w:val="en-US"/>
        </w:rPr>
        <w:t>stereo</w:t>
      </w:r>
    </w:p>
    <w:p>
      <w:pPr>
        <w:pStyle w:val="Normal"/>
        <w:tabs>
          <w:tab w:val="left" w:pos="360" w:leader="none"/>
        </w:tabs>
        <w:ind w:firstLine="709"/>
        <w:jc w:val="both"/>
        <w:rPr/>
      </w:pPr>
      <w:r>
        <w:rPr>
          <w:b/>
        </w:rPr>
        <w:t>Дополнительные условия:</w:t>
      </w:r>
      <w:r>
        <w:rPr/>
        <w:t xml:space="preserve"> </w:t>
      </w:r>
    </w:p>
    <w:p>
      <w:pPr>
        <w:pStyle w:val="Normal"/>
        <w:tabs>
          <w:tab w:val="left" w:pos="360" w:leader="none"/>
        </w:tabs>
        <w:ind w:firstLine="709"/>
        <w:jc w:val="both"/>
        <w:rPr/>
      </w:pPr>
      <w:r>
        <w:rPr/>
        <w:t>- в случае возникновения технических неисправностей Абонентская плата не начисляется на период устранения таких неисправностей (но не более 72 (семидесяти двух) часов);</w:t>
      </w:r>
    </w:p>
    <w:p>
      <w:pPr>
        <w:pStyle w:val="Normal"/>
        <w:ind w:firstLine="709"/>
        <w:jc w:val="both"/>
        <w:rPr/>
      </w:pPr>
      <w:r>
        <w:rPr/>
        <w:t xml:space="preserve">- устранять технические неисправности в течение </w:t>
      </w:r>
      <w:r>
        <w:rPr>
          <w:b/>
        </w:rPr>
        <w:t>72 (семидесяти двух) часов</w:t>
      </w:r>
      <w:r>
        <w:rPr/>
        <w:t xml:space="preserve"> с момента получения заявки от Абонента;</w:t>
      </w:r>
    </w:p>
    <w:p>
      <w:pPr>
        <w:pStyle w:val="Normal"/>
        <w:tabs>
          <w:tab w:val="left" w:pos="720" w:leader="none"/>
          <w:tab w:val="left" w:pos="1260" w:leader="none"/>
        </w:tabs>
        <w:ind w:firstLine="709"/>
        <w:jc w:val="both"/>
        <w:rPr/>
      </w:pPr>
      <w:r>
        <w:rPr/>
        <w:t xml:space="preserve">- предоставлять Абоненту Услуги круглосуточно, за исключением случаев проведения необходимых профилактических и ремонтно-сервисных работ длительностью не более 24 (двадцати четырёх) часов, о которых Поставщик уведомляет Клиента посредством Кабельного телевидения не менее чем за сутки до начала проведения таких работ. Уведомления о проведении профилактических и ремонтно-сервисных работ, исполненные указанным способом, считаются полученными Клиентом; </w:t>
      </w:r>
    </w:p>
    <w:p>
      <w:pPr>
        <w:pStyle w:val="Normal"/>
        <w:tabs>
          <w:tab w:val="left" w:pos="720" w:leader="none"/>
          <w:tab w:val="left" w:pos="1260" w:leader="none"/>
        </w:tabs>
        <w:ind w:firstLine="709"/>
        <w:jc w:val="both"/>
        <w:rPr/>
      </w:pPr>
      <w:r>
        <w:rPr/>
        <w:t>- информировать Клиента об изменении состава пакетов программ посредством Кабельного телевидения. Уведомления о предстоящих изменениях, исполненные указанным способом, считаются полученными Клиентом. Подписания Сторонами дополнительных документов, предусматривающих соответствующие изменения, не требуется;</w:t>
      </w:r>
    </w:p>
    <w:p>
      <w:pPr>
        <w:pStyle w:val="Normal"/>
        <w:tabs>
          <w:tab w:val="left" w:pos="993" w:leader="none"/>
        </w:tabs>
        <w:ind w:firstLine="709"/>
        <w:jc w:val="both"/>
        <w:rPr/>
      </w:pPr>
      <w:r>
        <w:rPr/>
        <w:t>- предоставлять своевременные консультаций в случае возникновения технических проблем в работе, техническую поддержку в случае неполадок трансляции телевидения;</w:t>
      </w:r>
    </w:p>
    <w:p>
      <w:pPr>
        <w:pStyle w:val="Normal"/>
        <w:ind w:firstLine="709"/>
        <w:jc w:val="both"/>
        <w:rPr>
          <w:color w:val="00000A"/>
        </w:rPr>
      </w:pPr>
      <w:r>
        <w:rPr>
          <w:color w:val="00000A"/>
        </w:rPr>
        <w:t xml:space="preserve">- предоставлять услуги аналогового телевидения с обязательным включением в пакет программ обязательных каналов. </w:t>
      </w:r>
    </w:p>
    <w:p>
      <w:pPr>
        <w:pStyle w:val="Normal"/>
        <w:ind w:firstLine="709"/>
        <w:jc w:val="both"/>
        <w:rPr/>
      </w:pPr>
      <w:r>
        <w:rPr/>
        <w:t xml:space="preserve">Подписав настоящее Приложение, Клиент дает безусловное письменное согласие (отдельного согласия Клиента не требуется, кроме настоящего согласия, выраженного принятием настоящего Приложения): </w:t>
      </w:r>
    </w:p>
    <w:p>
      <w:pPr>
        <w:pStyle w:val="Normal"/>
        <w:ind w:firstLine="709"/>
        <w:jc w:val="both"/>
        <w:rPr/>
      </w:pPr>
      <w:r>
        <w:rPr/>
        <w:t>1) на предоставление Поставщиком третьим лицам необходимой информации, полученной от Клиента, в случаях, когда Поставщик намерен уступить им права требования по Договору и/или поручить им взыскание с Клиента Задолженности по Договору, а также в иных случаях, предусмотренных действующим законодательством Республики Казахстан;</w:t>
      </w:r>
    </w:p>
    <w:p>
      <w:pPr>
        <w:pStyle w:val="Normal"/>
        <w:ind w:firstLine="709"/>
        <w:jc w:val="both"/>
        <w:rPr/>
      </w:pPr>
      <w:r>
        <w:rPr/>
        <w:t>2) на сбор, обработку и распространение его данных (Ф.И.О., телефонные номера, идентификационные коды, адреса электронной почты, почтовый адрес, адрес проживания, индивидуальный идентификационный номер, биллинговые сведения и сведения о предоставляемых Клиентом услугах, адрес Клиента в сети передачи данных и адреса обращения к интернет-ресурсам в сети передачи данных, идентификаторы интернет-ресурса, протоколы сети передачи данных и др.) и передачи их банкам Республики Казахстан, платежным системам для осуществления приема платежей от Клиента за предоставляемые Услуги, для получения СМС-рассылок в виде информационных сообщений (включая, но не ограничиваясь: сообщения об услугах, напоминания об оплате за услуги, наличия задолженности и сроках ее оплаты и др.) от Поставщика, а также в целях осуществления Поставщиком деятельности по предоставлению Услуг по Договору. При этом, Клиент соглашается с тем, что его данные, а именно первый руководитель или другое уполномоченное лицо на подписание Договора, юридический адрес Клиента, почтовый адрес являются общедоступными и на которые не распространяются требования соблюдения конфиденциальности.</w:t>
      </w:r>
    </w:p>
    <w:p>
      <w:pPr>
        <w:pStyle w:val="Normal"/>
        <w:ind w:firstLine="709"/>
        <w:jc w:val="both"/>
        <w:rPr/>
      </w:pPr>
      <w:r>
        <w:rPr/>
        <w:t>Поставщик имеет право без предупреждения прекратить предоставление Услуг (фактически отключить/расторгнуть Договор) с начислением Абонентской платы до момента прекращения предоставления Услуг, в следующих случаях:</w:t>
      </w:r>
    </w:p>
    <w:p>
      <w:pPr>
        <w:pStyle w:val="Normal"/>
        <w:ind w:firstLine="709"/>
        <w:jc w:val="both"/>
        <w:rPr/>
      </w:pPr>
      <w:r>
        <w:rPr/>
        <w:t xml:space="preserve">1) Клиент использует Услуги и/или Оборудование Поставщика так, что это неблагоприятно отражается на деятельности Поставщика или использовании его Услуг другими абонентами; </w:t>
      </w:r>
    </w:p>
    <w:p>
      <w:pPr>
        <w:pStyle w:val="Normal"/>
        <w:ind w:firstLine="709"/>
        <w:jc w:val="both"/>
        <w:rPr/>
      </w:pPr>
      <w:r>
        <w:rPr/>
        <w:t>2) Клиент имеет Задолженность по состоянию на 01 число месяца, следующего за Отчетным периодом;</w:t>
      </w:r>
    </w:p>
    <w:p>
      <w:pPr>
        <w:pStyle w:val="Normal"/>
        <w:ind w:firstLine="709"/>
        <w:jc w:val="both"/>
        <w:rPr/>
      </w:pPr>
      <w:r>
        <w:rPr/>
        <w:t>3) В случае невозможности предоставления Услуг по техническим причинам;</w:t>
      </w:r>
    </w:p>
    <w:p>
      <w:pPr>
        <w:pStyle w:val="Normal"/>
        <w:ind w:firstLine="709"/>
        <w:jc w:val="both"/>
        <w:rPr/>
      </w:pPr>
      <w:r>
        <w:rPr/>
        <w:t>4) В случае нарушения Клиентом условий настоящего Приложения и Договора.</w:t>
      </w:r>
    </w:p>
    <w:p>
      <w:pPr>
        <w:pStyle w:val="Normal"/>
        <w:ind w:firstLine="709"/>
        <w:jc w:val="both"/>
        <w:rPr/>
      </w:pPr>
      <w:r>
        <w:rPr/>
        <w:t>В случае прекращения предоставления Услуг в соответствии с вышеуказанными пунктами настоящего Приложения, предоставление Услуг возобновляется при условии погашения Задолженности, устранении имеющихся нарушений, при оплате Клиентом стоимости повторного подключения и Абонентской платы согласно тарифам Поставщика, размещённым на Сайте Поставщика. Возобновление Услуг Поставщиком осуществляется после письменного или устного обращения Клиента к Оператору.</w:t>
      </w:r>
    </w:p>
    <w:p>
      <w:pPr>
        <w:pStyle w:val="Normal"/>
        <w:ind w:firstLine="709"/>
        <w:jc w:val="both"/>
        <w:rPr/>
      </w:pPr>
      <w:r>
        <w:rPr/>
        <w:t>При использовании Услуг Клиентом Поставщик не несет ответственности за:</w:t>
      </w:r>
    </w:p>
    <w:p>
      <w:pPr>
        <w:pStyle w:val="Normal"/>
        <w:ind w:firstLine="709"/>
        <w:jc w:val="both"/>
        <w:rPr/>
      </w:pPr>
      <w:r>
        <w:rPr/>
        <w:t>1) Любые убытки, упущенную выгоду, потерю здоровья или другие потери, если причиной явилось неправильное использование Оборудования и/или Услуг, утрата или порча Оборудования не по вине Поставщика, а также прекращения предоставления Услуг в период профилактических и ремонтно-сервисных работ;</w:t>
      </w:r>
    </w:p>
    <w:p>
      <w:pPr>
        <w:pStyle w:val="Normal"/>
        <w:ind w:firstLine="709"/>
        <w:jc w:val="both"/>
        <w:rPr/>
      </w:pPr>
      <w:r>
        <w:rPr/>
        <w:t>2) Действия других телекоммуникационных компаний, участвующих в организации Услуг;</w:t>
      </w:r>
    </w:p>
    <w:p>
      <w:pPr>
        <w:pStyle w:val="Normal"/>
        <w:ind w:firstLine="709"/>
        <w:jc w:val="both"/>
        <w:rPr/>
      </w:pPr>
      <w:r>
        <w:rPr/>
        <w:t>3) Риски Клиента, связанные с информацией и услугами, полученными посредством Услуг;</w:t>
      </w:r>
    </w:p>
    <w:p>
      <w:pPr>
        <w:pStyle w:val="Normal"/>
        <w:ind w:firstLine="709"/>
        <w:jc w:val="both"/>
        <w:rPr/>
      </w:pPr>
      <w:r>
        <w:rPr/>
        <w:t xml:space="preserve">4) За перерывы в получении Услуг Клиентом, вызванные введением временных запретов уполномоченными государственными органами, прекращением подачи электроэнергии, погодными условиями и другими причинами, не зависящими от Поставщика. </w:t>
      </w:r>
    </w:p>
    <w:p>
      <w:pPr>
        <w:pStyle w:val="Normal"/>
        <w:ind w:firstLine="709"/>
        <w:jc w:val="both"/>
        <w:rPr/>
      </w:pPr>
      <w:r>
        <w:rPr/>
        <w:t>Настоящим Поставщик предупреждает, что Пакет программ содержит материалы, охраняемые законодательством Республики Казахстан об интеллектуальной собственности, включая, но не ограничиваясь: видеоматериалы, графические изображения, музыкальные и звуковые произведения. Клиент обязуется получать Услуги от Поставщика только в законных целях и соблюдать требования законодательства Республики Казахстан, в том числе в отношении авторских и смежных прав правообладателей.</w:t>
      </w:r>
    </w:p>
    <w:p>
      <w:pPr>
        <w:pStyle w:val="Normal"/>
        <w:ind w:firstLine="709"/>
        <w:jc w:val="both"/>
        <w:rPr/>
      </w:pPr>
      <w:r>
        <w:rPr/>
        <w:t>В случае, если Клиент является юридическим лицом, который на основании договора с Поставщиком обеспечивает возможность просмотра пакета программ физическими лицами в любом ограниченном и не являющемся общедоступным помещении, не предназначенном для постоянного проживания лиц, в частности, таким помещением может быть помещение, предназначенное для проживания в пределах какой-либо гостиницы, мотеля, гостевого дома или пансиона (далее – гостиницы), офисное или административное помещение, больница, школа, учебное заведение, Заказчик гарантирует в пределах указанного помещения осуществлять показ только тех телеканалов, указанных в Приложении №__ к настоящему договору. В случае показа Клиентом в указанных помещениях иных телеканалов, не предусмотренных в Приложении №__ настоящего Договора, Клиент самостоятельно несет ответственность в рамках законодательства Республики Казахстан перед уполномоченными государственными органами, в том числе и перед правообладателями телеканалов.</w:t>
      </w:r>
    </w:p>
    <w:p>
      <w:pPr>
        <w:pStyle w:val="Normal"/>
        <w:ind w:firstLine="709"/>
        <w:jc w:val="both"/>
        <w:rPr/>
      </w:pPr>
      <w:r>
        <w:rPr/>
        <w:t xml:space="preserve">В случае, если Клиент является юридическим лицом, который на основании договора с Поставщиком обеспечивает возможность просмотра пакета программ физическими лицами в любом неограниченном и являющимся общедоступным помещении с платным или бесплатным входом Клиент обязуется в соответствии с действующим законодательством Республики Казахстан заключить соответствующий лицензионный договор с обществом по управлению авторских и смежных прав и оплачивать за использование музыкальных произведений и/или других объектов авторских и смежных прав путем публичного показа в общедоступном помещении. Клиент самостоятельно несет ответственность в рамках законодательства Республики Казахстан перед уполномоченными государственными органами и обществами по управлению авторских и смежных прав за не соблюдение нормы законодательства Республики Казахстан. </w:t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sz w:val="22"/>
          <w:szCs w:val="22"/>
          <w:highlight w:val="yellow"/>
        </w:rPr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1059"/>
    <w:pPr>
      <w:widowControl/>
      <w:bidi w:val="0"/>
      <w:spacing w:lineRule="auto" w:line="24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0" w:customStyle="1">
    <w:name w:val="s0"/>
    <w:qFormat/>
    <w:rsid w:val="001a4bcf"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000000"/>
      <w:sz w:val="28"/>
      <w:szCs w:val="28"/>
      <w:u w:val="none"/>
      <w:effect w:val="none"/>
    </w:rPr>
  </w:style>
  <w:style w:type="paragraph" w:styleId="Style14" w:customStyle="1">
    <w:name w:val="Заголовок"/>
    <w:basedOn w:val="Normal"/>
    <w:next w:val="Style15"/>
    <w:qFormat/>
    <w:rsid w:val="00ef0dbf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rsid w:val="00ef0dbf"/>
    <w:pPr>
      <w:spacing w:lineRule="auto" w:line="288" w:before="0" w:after="140"/>
    </w:pPr>
    <w:rPr/>
  </w:style>
  <w:style w:type="paragraph" w:styleId="Style16">
    <w:name w:val="List"/>
    <w:basedOn w:val="Style15"/>
    <w:rsid w:val="00ef0dbf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qFormat/>
    <w:rsid w:val="00ef0dbf"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rsid w:val="00ef0dbf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LibreOffice/5.4.7.2$Windows_x86 LibreOffice_project/c838ef25c16710f8838b1faec480ebba495259d0</Application>
  <Pages>3</Pages>
  <Words>996</Words>
  <Characters>7476</Characters>
  <CharactersWithSpaces>8472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2021-12-08T06:07:00Z</dcterms:created>
  <dc:creator>zhanar.aldabergenova</dc:creator>
  <dc:description/>
  <dc:language>ru-RU</dc:language>
  <cp:lastModifiedBy/>
  <cp:lastPrinted>2018-08-27T09:23:00Z</cp:lastPrinted>
  <dcterms:modified xsi:type="dcterms:W3CDTF">2024-08-15T09:57:00Z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