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85" w:rsidRPr="004A7CB6" w:rsidRDefault="00427785" w:rsidP="00427785">
      <w:pPr>
        <w:pStyle w:val="a3"/>
        <w:jc w:val="right"/>
        <w:rPr>
          <w:rFonts w:ascii="Times New Roman" w:hAnsi="Times New Roman" w:cs="Times New Roman"/>
          <w:sz w:val="24"/>
          <w:lang w:val="kk-KZ"/>
        </w:rPr>
      </w:pPr>
      <w:r>
        <w:rPr>
          <w:rFonts w:ascii="Times New Roman" w:hAnsi="Times New Roman" w:cs="Times New Roman"/>
          <w:sz w:val="24"/>
        </w:rPr>
        <w:t>Приложение 2</w:t>
      </w:r>
      <w:r>
        <w:rPr>
          <w:rFonts w:ascii="Times New Roman" w:hAnsi="Times New Roman" w:cs="Times New Roman"/>
          <w:sz w:val="24"/>
          <w:lang w:val="kk-KZ"/>
        </w:rPr>
        <w:t>/ Қосымша 2</w:t>
      </w:r>
    </w:p>
    <w:p w:rsidR="00427785" w:rsidRDefault="00427785" w:rsidP="00427785">
      <w:pPr>
        <w:pStyle w:val="a3"/>
        <w:jc w:val="right"/>
        <w:rPr>
          <w:rFonts w:ascii="Times New Roman" w:hAnsi="Times New Roman" w:cs="Times New Roman"/>
          <w:sz w:val="24"/>
        </w:rPr>
      </w:pPr>
    </w:p>
    <w:p w:rsidR="00427785" w:rsidRDefault="00427785" w:rsidP="00242F89">
      <w:pPr>
        <w:pStyle w:val="a3"/>
        <w:rPr>
          <w:rFonts w:ascii="Times New Roman" w:hAnsi="Times New Roman" w:cs="Times New Roman"/>
          <w:sz w:val="24"/>
        </w:rPr>
      </w:pPr>
    </w:p>
    <w:p w:rsidR="00B24A87" w:rsidRDefault="00B24A87" w:rsidP="00B24A87">
      <w:pPr>
        <w:tabs>
          <w:tab w:val="left" w:pos="1080"/>
        </w:tabs>
        <w:spacing w:after="0" w:line="240" w:lineRule="auto"/>
        <w:ind w:right="39" w:firstLine="540"/>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Техническая спецификация на услугу </w:t>
      </w:r>
    </w:p>
    <w:p w:rsidR="00B24A87" w:rsidRDefault="00B24A87" w:rsidP="00B24A87">
      <w:pPr>
        <w:tabs>
          <w:tab w:val="left" w:pos="1080"/>
        </w:tabs>
        <w:spacing w:after="0" w:line="240" w:lineRule="auto"/>
        <w:ind w:right="39" w:firstLine="540"/>
        <w:jc w:val="center"/>
        <w:rPr>
          <w:rFonts w:ascii="Times New Roman" w:eastAsia="Calibri" w:hAnsi="Times New Roman" w:cs="Times New Roman"/>
          <w:b/>
          <w:sz w:val="24"/>
          <w:szCs w:val="24"/>
          <w:lang w:eastAsia="ru-RU"/>
        </w:rPr>
      </w:pPr>
    </w:p>
    <w:p w:rsidR="00B24A87" w:rsidRDefault="00B24A87" w:rsidP="00B24A87">
      <w:pPr>
        <w:tabs>
          <w:tab w:val="left" w:pos="1080"/>
        </w:tabs>
        <w:spacing w:after="0" w:line="240" w:lineRule="auto"/>
        <w:ind w:right="39" w:firstLine="540"/>
        <w:jc w:val="center"/>
        <w:rPr>
          <w:rFonts w:ascii="Times New Roman" w:eastAsia="Calibri" w:hAnsi="Times New Roman" w:cs="Times New Roman"/>
          <w:b/>
          <w:sz w:val="24"/>
          <w:szCs w:val="24"/>
          <w:lang w:eastAsia="ru-RU"/>
        </w:rPr>
      </w:pPr>
    </w:p>
    <w:p w:rsidR="00B24A87" w:rsidRDefault="00B24A87" w:rsidP="00B24A87">
      <w:pPr>
        <w:tabs>
          <w:tab w:val="left" w:pos="1080"/>
        </w:tabs>
        <w:spacing w:after="0" w:line="240" w:lineRule="auto"/>
        <w:ind w:right="39" w:firstLine="540"/>
        <w:jc w:val="right"/>
        <w:rPr>
          <w:rFonts w:ascii="Times New Roman" w:eastAsia="Calibri" w:hAnsi="Times New Roman" w:cs="Times New Roman"/>
          <w:lang w:eastAsia="ru-RU"/>
        </w:rPr>
      </w:pPr>
    </w:p>
    <w:tbl>
      <w:tblPr>
        <w:tblStyle w:val="a4"/>
        <w:tblW w:w="14316" w:type="dxa"/>
        <w:tblInd w:w="421" w:type="dxa"/>
        <w:tblLook w:val="04A0" w:firstRow="1" w:lastRow="0" w:firstColumn="1" w:lastColumn="0" w:noHBand="0" w:noVBand="1"/>
      </w:tblPr>
      <w:tblGrid>
        <w:gridCol w:w="598"/>
        <w:gridCol w:w="1790"/>
        <w:gridCol w:w="11928"/>
      </w:tblGrid>
      <w:tr w:rsidR="00B24A87" w:rsidTr="00B24A87">
        <w:tc>
          <w:tcPr>
            <w:tcW w:w="598" w:type="dxa"/>
            <w:tcBorders>
              <w:top w:val="single" w:sz="4" w:space="0" w:color="auto"/>
              <w:left w:val="single" w:sz="4" w:space="0" w:color="auto"/>
              <w:bottom w:val="single" w:sz="4" w:space="0" w:color="auto"/>
              <w:right w:val="single" w:sz="4" w:space="0" w:color="auto"/>
            </w:tcBorders>
            <w:vAlign w:val="center"/>
            <w:hideMark/>
          </w:tcPr>
          <w:p w:rsidR="00B24A87" w:rsidRDefault="00B24A87">
            <w:pPr>
              <w:tabs>
                <w:tab w:val="left" w:pos="1080"/>
              </w:tabs>
              <w:ind w:right="39"/>
              <w:jc w:val="center"/>
              <w:rPr>
                <w:rFonts w:ascii="Times New Roman" w:eastAsia="Calibri" w:hAnsi="Times New Roman" w:cs="Times New Roman"/>
                <w:b/>
                <w:lang w:eastAsia="ru-RU"/>
              </w:rPr>
            </w:pPr>
            <w:r>
              <w:rPr>
                <w:rFonts w:ascii="Times New Roman" w:eastAsia="Calibri" w:hAnsi="Times New Roman" w:cs="Times New Roman"/>
                <w:b/>
                <w:lang w:eastAsia="ru-RU"/>
              </w:rPr>
              <w:t>№ п/п</w:t>
            </w:r>
          </w:p>
        </w:tc>
        <w:tc>
          <w:tcPr>
            <w:tcW w:w="1728" w:type="dxa"/>
            <w:tcBorders>
              <w:top w:val="single" w:sz="4" w:space="0" w:color="auto"/>
              <w:left w:val="single" w:sz="4" w:space="0" w:color="auto"/>
              <w:bottom w:val="single" w:sz="4" w:space="0" w:color="auto"/>
              <w:right w:val="single" w:sz="4" w:space="0" w:color="auto"/>
            </w:tcBorders>
            <w:vAlign w:val="center"/>
            <w:hideMark/>
          </w:tcPr>
          <w:p w:rsidR="00B24A87" w:rsidRDefault="00B24A87">
            <w:pPr>
              <w:tabs>
                <w:tab w:val="left" w:pos="1080"/>
              </w:tabs>
              <w:ind w:right="39"/>
              <w:jc w:val="center"/>
              <w:rPr>
                <w:rFonts w:ascii="Times New Roman" w:eastAsia="Calibri" w:hAnsi="Times New Roman" w:cs="Times New Roman"/>
                <w:b/>
                <w:lang w:val="kk-KZ" w:eastAsia="ru-RU"/>
              </w:rPr>
            </w:pPr>
            <w:r>
              <w:rPr>
                <w:rFonts w:ascii="Times New Roman" w:eastAsia="Calibri" w:hAnsi="Times New Roman" w:cs="Times New Roman"/>
                <w:b/>
                <w:lang w:val="kk-KZ" w:eastAsia="ru-RU"/>
              </w:rPr>
              <w:t>Наименование услуги</w:t>
            </w:r>
          </w:p>
        </w:tc>
        <w:tc>
          <w:tcPr>
            <w:tcW w:w="11990" w:type="dxa"/>
            <w:tcBorders>
              <w:top w:val="single" w:sz="4" w:space="0" w:color="auto"/>
              <w:left w:val="single" w:sz="4" w:space="0" w:color="auto"/>
              <w:bottom w:val="single" w:sz="4" w:space="0" w:color="auto"/>
              <w:right w:val="single" w:sz="4" w:space="0" w:color="auto"/>
            </w:tcBorders>
            <w:vAlign w:val="center"/>
            <w:hideMark/>
          </w:tcPr>
          <w:p w:rsidR="00B24A87" w:rsidRDefault="00B24A87">
            <w:pPr>
              <w:tabs>
                <w:tab w:val="left" w:pos="1080"/>
              </w:tabs>
              <w:ind w:right="39"/>
              <w:jc w:val="center"/>
              <w:rPr>
                <w:rFonts w:ascii="Times New Roman" w:eastAsia="Calibri" w:hAnsi="Times New Roman" w:cs="Times New Roman"/>
                <w:b/>
                <w:lang w:eastAsia="ru-RU"/>
              </w:rPr>
            </w:pPr>
            <w:r>
              <w:rPr>
                <w:rFonts w:ascii="Times New Roman" w:eastAsia="Calibri" w:hAnsi="Times New Roman" w:cs="Times New Roman"/>
                <w:b/>
                <w:lang w:eastAsia="ru-RU"/>
              </w:rPr>
              <w:t>Техническая спецификация</w:t>
            </w:r>
          </w:p>
        </w:tc>
      </w:tr>
      <w:tr w:rsidR="00B24A87" w:rsidTr="00B24A87">
        <w:trPr>
          <w:trHeight w:val="558"/>
        </w:trPr>
        <w:tc>
          <w:tcPr>
            <w:tcW w:w="598" w:type="dxa"/>
            <w:tcBorders>
              <w:top w:val="single" w:sz="4" w:space="0" w:color="auto"/>
              <w:left w:val="single" w:sz="4" w:space="0" w:color="auto"/>
              <w:bottom w:val="single" w:sz="4" w:space="0" w:color="auto"/>
              <w:right w:val="single" w:sz="4" w:space="0" w:color="auto"/>
            </w:tcBorders>
            <w:vAlign w:val="center"/>
            <w:hideMark/>
          </w:tcPr>
          <w:p w:rsidR="00B24A87" w:rsidRDefault="00B24A87">
            <w:pPr>
              <w:tabs>
                <w:tab w:val="left" w:pos="1080"/>
              </w:tabs>
              <w:spacing w:after="0"/>
              <w:ind w:right="39"/>
              <w:jc w:val="center"/>
              <w:rPr>
                <w:rFonts w:ascii="Times New Roman" w:eastAsia="Calibri" w:hAnsi="Times New Roman" w:cs="Times New Roman"/>
                <w:lang w:eastAsia="ru-RU"/>
              </w:rPr>
            </w:pPr>
            <w:r>
              <w:rPr>
                <w:rFonts w:ascii="Times New Roman" w:eastAsia="Calibri" w:hAnsi="Times New Roman" w:cs="Times New Roman"/>
                <w:lang w:eastAsia="ru-RU"/>
              </w:rPr>
              <w:t>1</w:t>
            </w:r>
          </w:p>
        </w:tc>
        <w:tc>
          <w:tcPr>
            <w:tcW w:w="1728" w:type="dxa"/>
            <w:tcBorders>
              <w:top w:val="single" w:sz="4" w:space="0" w:color="auto"/>
              <w:left w:val="single" w:sz="4" w:space="0" w:color="auto"/>
              <w:bottom w:val="single" w:sz="4" w:space="0" w:color="auto"/>
              <w:right w:val="single" w:sz="4" w:space="0" w:color="auto"/>
            </w:tcBorders>
            <w:vAlign w:val="center"/>
            <w:hideMark/>
          </w:tcPr>
          <w:p w:rsidR="00B24A87" w:rsidRDefault="00B24A87">
            <w:pPr>
              <w:widowControl w:val="0"/>
              <w:autoSpaceDE w:val="0"/>
              <w:autoSpaceDN w:val="0"/>
              <w:adjustRightInd w:val="0"/>
              <w:spacing w:after="0"/>
              <w:jc w:val="center"/>
              <w:rPr>
                <w:rFonts w:ascii="Times New Roman" w:eastAsia="Calibri" w:hAnsi="Times New Roman" w:cs="Times New Roman"/>
                <w:b/>
                <w:lang w:eastAsia="ru-RU"/>
              </w:rPr>
            </w:pPr>
            <w:r>
              <w:rPr>
                <w:rFonts w:ascii="Times New Roman" w:eastAsia="Calibri" w:hAnsi="Times New Roman" w:cs="Times New Roman"/>
                <w:b/>
                <w:lang w:eastAsia="ru-RU"/>
              </w:rPr>
              <w:t xml:space="preserve">Услуга по перезарядке </w:t>
            </w:r>
          </w:p>
          <w:p w:rsidR="00B24A87" w:rsidRDefault="00B24A87" w:rsidP="00B962F0">
            <w:pPr>
              <w:widowControl w:val="0"/>
              <w:autoSpaceDE w:val="0"/>
              <w:autoSpaceDN w:val="0"/>
              <w:adjustRightInd w:val="0"/>
              <w:spacing w:after="0"/>
              <w:jc w:val="center"/>
              <w:rPr>
                <w:rFonts w:ascii="Times New Roman" w:eastAsia="Calibri" w:hAnsi="Times New Roman" w:cs="Times New Roman"/>
                <w:b/>
                <w:lang w:val="kk-KZ" w:eastAsia="ru-RU"/>
              </w:rPr>
            </w:pPr>
            <w:r>
              <w:rPr>
                <w:rFonts w:ascii="Times New Roman" w:eastAsia="Calibri" w:hAnsi="Times New Roman" w:cs="Times New Roman"/>
                <w:b/>
                <w:lang w:eastAsia="ru-RU"/>
              </w:rPr>
              <w:t>огнетушителей</w:t>
            </w:r>
            <w:r>
              <w:rPr>
                <w:rFonts w:ascii="Times New Roman" w:eastAsia="Calibri" w:hAnsi="Times New Roman" w:cs="Times New Roman"/>
                <w:b/>
                <w:lang w:val="kk-KZ" w:eastAsia="ru-RU"/>
              </w:rPr>
              <w:t xml:space="preserve">, не менее </w:t>
            </w:r>
            <w:r w:rsidR="00B962F0">
              <w:rPr>
                <w:rFonts w:ascii="Times New Roman" w:eastAsia="Calibri" w:hAnsi="Times New Roman" w:cs="Times New Roman"/>
                <w:b/>
                <w:lang w:val="kk-KZ" w:eastAsia="ru-RU"/>
              </w:rPr>
              <w:t>85шт</w:t>
            </w:r>
          </w:p>
        </w:tc>
        <w:tc>
          <w:tcPr>
            <w:tcW w:w="11990" w:type="dxa"/>
            <w:tcBorders>
              <w:top w:val="single" w:sz="4" w:space="0" w:color="auto"/>
              <w:left w:val="single" w:sz="4" w:space="0" w:color="auto"/>
              <w:bottom w:val="single" w:sz="4" w:space="0" w:color="auto"/>
              <w:right w:val="single" w:sz="4" w:space="0" w:color="auto"/>
            </w:tcBorders>
          </w:tcPr>
          <w:p w:rsidR="00B24A87" w:rsidRDefault="00B24A87">
            <w:pPr>
              <w:widowControl w:val="0"/>
              <w:autoSpaceDE w:val="0"/>
              <w:autoSpaceDN w:val="0"/>
              <w:adjustRightInd w:val="0"/>
              <w:spacing w:after="0"/>
              <w:ind w:firstLine="178"/>
              <w:rPr>
                <w:rFonts w:ascii="Times New Roman" w:eastAsia="Calibri" w:hAnsi="Times New Roman" w:cs="Times New Roman"/>
                <w:u w:val="single"/>
                <w:lang w:eastAsia="ru-RU"/>
              </w:rPr>
            </w:pPr>
            <w:r>
              <w:rPr>
                <w:rFonts w:ascii="Times New Roman" w:eastAsia="Calibri" w:hAnsi="Times New Roman" w:cs="Times New Roman"/>
                <w:b/>
                <w:u w:val="single"/>
                <w:lang w:eastAsia="ru-RU"/>
              </w:rPr>
              <w:t>Функциональная характеристика:</w:t>
            </w:r>
          </w:p>
          <w:p w:rsidR="00B24A87" w:rsidRDefault="00B24A87">
            <w:pPr>
              <w:widowControl w:val="0"/>
              <w:autoSpaceDE w:val="0"/>
              <w:autoSpaceDN w:val="0"/>
              <w:adjustRightInd w:val="0"/>
              <w:spacing w:after="0"/>
              <w:ind w:firstLine="178"/>
              <w:rPr>
                <w:rFonts w:ascii="Times New Roman" w:eastAsia="Calibri" w:hAnsi="Times New Roman" w:cs="Times New Roman"/>
                <w:b/>
                <w:lang w:eastAsia="ru-RU"/>
              </w:rPr>
            </w:pPr>
            <w:r>
              <w:rPr>
                <w:rStyle w:val="a6"/>
                <w:bdr w:val="none" w:sz="0" w:space="0" w:color="auto" w:frame="1"/>
              </w:rPr>
              <w:t>Перезарядка огнетушителей включает в себя внешний и внутренний осмотр, ремонт, гидравлическое испытание на прочность, пневматические испытания на герметичность корпуса, пусковой головки, шланга, запорного устройства и покраску огнетушителя. Огнетушители, прошедшие перезарядку, должны соответствовать техническому состоянию в течение 2 лет.</w:t>
            </w:r>
          </w:p>
          <w:p w:rsidR="00B24A87" w:rsidRDefault="00B24A87">
            <w:pPr>
              <w:tabs>
                <w:tab w:val="left" w:pos="1080"/>
              </w:tabs>
              <w:spacing w:after="0"/>
              <w:ind w:right="39"/>
              <w:rPr>
                <w:rFonts w:ascii="Times New Roman" w:eastAsia="Calibri" w:hAnsi="Times New Roman" w:cs="Times New Roman"/>
                <w:b/>
                <w:u w:val="single"/>
                <w:lang w:eastAsia="ru-RU"/>
              </w:rPr>
            </w:pPr>
            <w:r>
              <w:rPr>
                <w:rFonts w:ascii="Times New Roman" w:eastAsia="Calibri" w:hAnsi="Times New Roman" w:cs="Times New Roman"/>
                <w:b/>
                <w:u w:val="single"/>
                <w:lang w:eastAsia="ru-RU"/>
              </w:rPr>
              <w:t>Техническая характеристика:</w:t>
            </w:r>
          </w:p>
          <w:p w:rsidR="00B24A87" w:rsidRDefault="00B24A87">
            <w:pPr>
              <w:pStyle w:val="a5"/>
              <w:shd w:val="clear" w:color="auto" w:fill="FFFFFF"/>
              <w:spacing w:before="0" w:beforeAutospacing="0" w:after="0" w:afterAutospacing="0"/>
              <w:rPr>
                <w:rStyle w:val="a6"/>
                <w:bdr w:val="none" w:sz="0" w:space="0" w:color="auto" w:frame="1"/>
                <w:lang w:eastAsia="en-US"/>
              </w:rPr>
            </w:pPr>
            <w:r>
              <w:rPr>
                <w:rStyle w:val="a6"/>
                <w:bdr w:val="none" w:sz="0" w:space="0" w:color="auto" w:frame="1"/>
                <w:lang w:eastAsia="en-US"/>
              </w:rPr>
              <w:t>После перезарядки огнетушителей Поставщик заполняет и предоставляет Заказчику документы (акты выполненных работ, акты выбраковки).</w:t>
            </w:r>
          </w:p>
          <w:p w:rsidR="00B24A87" w:rsidRDefault="00B24A87">
            <w:pPr>
              <w:widowControl w:val="0"/>
              <w:autoSpaceDE w:val="0"/>
              <w:autoSpaceDN w:val="0"/>
              <w:adjustRightInd w:val="0"/>
              <w:spacing w:after="0"/>
              <w:rPr>
                <w:rStyle w:val="a6"/>
                <w:b w:val="0"/>
                <w:sz w:val="24"/>
                <w:szCs w:val="24"/>
                <w:bdr w:val="none" w:sz="0" w:space="0" w:color="auto" w:frame="1"/>
              </w:rPr>
            </w:pPr>
            <w:r>
              <w:rPr>
                <w:rStyle w:val="a6"/>
                <w:sz w:val="24"/>
                <w:szCs w:val="24"/>
                <w:bdr w:val="none" w:sz="0" w:space="0" w:color="auto" w:frame="1"/>
              </w:rPr>
              <w:t>Гарантийный срок на оказание услуги составляет 12 месяцев со дня подписания акта выполненных услуг.</w:t>
            </w:r>
          </w:p>
          <w:p w:rsidR="00B24A87" w:rsidRDefault="00B24A87">
            <w:pPr>
              <w:widowControl w:val="0"/>
              <w:autoSpaceDE w:val="0"/>
              <w:autoSpaceDN w:val="0"/>
              <w:adjustRightInd w:val="0"/>
              <w:spacing w:after="0"/>
              <w:ind w:firstLine="178"/>
              <w:rPr>
                <w:rFonts w:ascii="Times New Roman" w:eastAsia="Calibri" w:hAnsi="Times New Roman" w:cs="Times New Roman"/>
                <w:u w:val="single"/>
                <w:lang w:eastAsia="ru-RU"/>
              </w:rPr>
            </w:pPr>
            <w:r>
              <w:rPr>
                <w:rFonts w:ascii="Times New Roman" w:eastAsia="Calibri" w:hAnsi="Times New Roman" w:cs="Times New Roman"/>
                <w:b/>
                <w:u w:val="single"/>
                <w:lang w:eastAsia="ru-RU"/>
              </w:rPr>
              <w:t>Качественная характеристика:</w:t>
            </w:r>
          </w:p>
          <w:p w:rsidR="00B24A87" w:rsidRDefault="00B24A87">
            <w:pPr>
              <w:spacing w:after="0"/>
              <w:rPr>
                <w:rFonts w:ascii="Times New Roman" w:hAnsi="Times New Roman" w:cs="Times New Roman"/>
                <w:sz w:val="24"/>
                <w:szCs w:val="24"/>
              </w:rPr>
            </w:pPr>
            <w:r>
              <w:rPr>
                <w:rFonts w:ascii="Times New Roman" w:hAnsi="Times New Roman" w:cs="Times New Roman"/>
                <w:sz w:val="24"/>
                <w:szCs w:val="24"/>
              </w:rPr>
              <w:t>В ходе проведения внешнего осмотра необходимо обращать внимание на:</w:t>
            </w:r>
            <w:r>
              <w:rPr>
                <w:rFonts w:ascii="Times New Roman" w:hAnsi="Times New Roman" w:cs="Times New Roman"/>
                <w:sz w:val="24"/>
                <w:szCs w:val="24"/>
              </w:rPr>
              <w:br/>
              <w:t>- наличие вмятин, сколов, глубоких царапин на корпусе, узлах управления,      гайках и головке огнетушителя;</w:t>
            </w:r>
            <w:r>
              <w:rPr>
                <w:rFonts w:ascii="Times New Roman" w:hAnsi="Times New Roman" w:cs="Times New Roman"/>
                <w:sz w:val="24"/>
                <w:szCs w:val="24"/>
              </w:rPr>
              <w:br/>
              <w:t>-состояние защитных и лакокрасочных покрытий;</w:t>
            </w:r>
            <w:r>
              <w:rPr>
                <w:rFonts w:ascii="Times New Roman" w:hAnsi="Times New Roman" w:cs="Times New Roman"/>
                <w:sz w:val="24"/>
                <w:szCs w:val="24"/>
              </w:rPr>
              <w:br/>
              <w:t>-наличие четкой и понятной инструкции;</w:t>
            </w:r>
            <w:r>
              <w:rPr>
                <w:rFonts w:ascii="Times New Roman" w:hAnsi="Times New Roman" w:cs="Times New Roman"/>
                <w:sz w:val="24"/>
                <w:szCs w:val="24"/>
              </w:rPr>
              <w:br/>
              <w:t>- наличие опломбированного предохранительного устройства;</w:t>
            </w:r>
            <w:r>
              <w:rPr>
                <w:rFonts w:ascii="Times New Roman" w:hAnsi="Times New Roman" w:cs="Times New Roman"/>
                <w:sz w:val="24"/>
                <w:szCs w:val="24"/>
              </w:rPr>
              <w:br/>
              <w:t xml:space="preserve">- исправность манометра или индикатора давления (если он предусмотрен конструкцией огнетушителя), наличие необходимого клейма и величину давления в огнетушителе </w:t>
            </w:r>
            <w:proofErr w:type="spellStart"/>
            <w:r>
              <w:rPr>
                <w:rFonts w:ascii="Times New Roman" w:hAnsi="Times New Roman" w:cs="Times New Roman"/>
                <w:sz w:val="24"/>
                <w:szCs w:val="24"/>
              </w:rPr>
              <w:t>закачного</w:t>
            </w:r>
            <w:proofErr w:type="spellEnd"/>
            <w:r>
              <w:rPr>
                <w:rFonts w:ascii="Times New Roman" w:hAnsi="Times New Roman" w:cs="Times New Roman"/>
                <w:sz w:val="24"/>
                <w:szCs w:val="24"/>
              </w:rPr>
              <w:t xml:space="preserve"> типа или в газовом баллоне; </w:t>
            </w:r>
            <w:r>
              <w:rPr>
                <w:rFonts w:ascii="Times New Roman" w:hAnsi="Times New Roman" w:cs="Times New Roman"/>
                <w:sz w:val="24"/>
                <w:szCs w:val="24"/>
              </w:rPr>
              <w:br/>
              <w:t>- массу огнетушителя, а также массу ОТВ в огнетушителе (последнюю определяют расчетным путем);</w:t>
            </w:r>
            <w:r>
              <w:rPr>
                <w:rFonts w:ascii="Times New Roman" w:hAnsi="Times New Roman" w:cs="Times New Roman"/>
                <w:sz w:val="24"/>
                <w:szCs w:val="24"/>
              </w:rPr>
              <w:br/>
              <w:t xml:space="preserve">- состояние гибкого шланга (при его наличии) и распылителя ОТВ (наличие механических повреждений, следов коррозии, литейного </w:t>
            </w:r>
            <w:proofErr w:type="spellStart"/>
            <w:r>
              <w:rPr>
                <w:rFonts w:ascii="Times New Roman" w:hAnsi="Times New Roman" w:cs="Times New Roman"/>
                <w:sz w:val="24"/>
                <w:szCs w:val="24"/>
              </w:rPr>
              <w:t>облоя</w:t>
            </w:r>
            <w:proofErr w:type="spellEnd"/>
            <w:r>
              <w:rPr>
                <w:rFonts w:ascii="Times New Roman" w:hAnsi="Times New Roman" w:cs="Times New Roman"/>
                <w:sz w:val="24"/>
                <w:szCs w:val="24"/>
              </w:rPr>
              <w:t xml:space="preserve"> или других предметов, препятствующих свободному выходу ОТВ из огнетушителя);</w:t>
            </w:r>
            <w:r>
              <w:rPr>
                <w:rFonts w:ascii="Times New Roman" w:hAnsi="Times New Roman" w:cs="Times New Roman"/>
                <w:sz w:val="24"/>
                <w:szCs w:val="24"/>
              </w:rPr>
              <w:br/>
              <w:t xml:space="preserve">- состояние ходовой части и надежность крепления корпуса огнетушителя на тележке (для передвижного </w:t>
            </w:r>
            <w:r>
              <w:rPr>
                <w:rFonts w:ascii="Times New Roman" w:hAnsi="Times New Roman" w:cs="Times New Roman"/>
                <w:sz w:val="24"/>
                <w:szCs w:val="24"/>
              </w:rPr>
              <w:lastRenderedPageBreak/>
              <w:t>огнетушителя), на стене или в пожарном шкафу (для переносного огнетушителя);</w:t>
            </w:r>
          </w:p>
          <w:p w:rsidR="00B24A87" w:rsidRDefault="00B24A87">
            <w:pPr>
              <w:widowControl w:val="0"/>
              <w:autoSpaceDE w:val="0"/>
              <w:autoSpaceDN w:val="0"/>
              <w:adjustRightInd w:val="0"/>
              <w:spacing w:after="0"/>
              <w:ind w:firstLine="178"/>
              <w:rPr>
                <w:rFonts w:ascii="Times New Roman" w:hAnsi="Times New Roman" w:cs="Times New Roman"/>
                <w:sz w:val="24"/>
                <w:szCs w:val="24"/>
              </w:rPr>
            </w:pPr>
            <w:r>
              <w:rPr>
                <w:rFonts w:ascii="Times New Roman" w:hAnsi="Times New Roman" w:cs="Times New Roman"/>
                <w:sz w:val="24"/>
                <w:szCs w:val="24"/>
              </w:rPr>
              <w:t>- состояние внутренней поверхности корпуса огнетушителя (наличие вмятин или вздутий металла, отслаивание защитного покрытия);</w:t>
            </w:r>
          </w:p>
          <w:p w:rsidR="00B24A87" w:rsidRDefault="00B24A87">
            <w:pPr>
              <w:widowControl w:val="0"/>
              <w:autoSpaceDE w:val="0"/>
              <w:autoSpaceDN w:val="0"/>
              <w:adjustRightInd w:val="0"/>
              <w:spacing w:after="0"/>
              <w:ind w:firstLine="178"/>
              <w:rPr>
                <w:rFonts w:ascii="Times New Roman" w:eastAsia="Calibri" w:hAnsi="Times New Roman" w:cs="Times New Roman"/>
                <w:b/>
                <w:sz w:val="24"/>
                <w:szCs w:val="24"/>
                <w:u w:val="single"/>
                <w:lang w:eastAsia="ru-RU"/>
              </w:rPr>
            </w:pPr>
            <w:r>
              <w:rPr>
                <w:rFonts w:ascii="Times New Roman" w:hAnsi="Times New Roman" w:cs="Times New Roman"/>
                <w:sz w:val="24"/>
                <w:szCs w:val="24"/>
              </w:rPr>
              <w:br/>
              <w:t>-наличие следов коррозии;</w:t>
            </w:r>
            <w:r>
              <w:rPr>
                <w:rFonts w:ascii="Times New Roman" w:hAnsi="Times New Roman" w:cs="Times New Roman"/>
                <w:sz w:val="24"/>
                <w:szCs w:val="24"/>
              </w:rPr>
              <w:br/>
              <w:t>- состояние прокладок, манжет или других видов уплотнений;</w:t>
            </w:r>
            <w:r>
              <w:rPr>
                <w:rFonts w:ascii="Times New Roman" w:hAnsi="Times New Roman" w:cs="Times New Roman"/>
                <w:sz w:val="24"/>
                <w:szCs w:val="24"/>
              </w:rPr>
              <w:br/>
              <w:t>- состояние предохранительных устройств, фильтров, приборов измерения давления, редукторов, вентилей, запорных устройств и их посадочных мест;</w:t>
            </w:r>
            <w:r>
              <w:rPr>
                <w:rFonts w:ascii="Times New Roman" w:hAnsi="Times New Roman" w:cs="Times New Roman"/>
                <w:sz w:val="24"/>
                <w:szCs w:val="24"/>
              </w:rPr>
              <w:br/>
              <w:t>- массу газового баллончика, срок его очередного испытания или срок гарантийной эксплуатации газогенерирующего элемента;</w:t>
            </w:r>
            <w:r>
              <w:rPr>
                <w:rFonts w:ascii="Times New Roman" w:hAnsi="Times New Roman" w:cs="Times New Roman"/>
                <w:sz w:val="24"/>
                <w:szCs w:val="24"/>
              </w:rPr>
              <w:br/>
              <w:t>-состояние поверхности и узлов крепления шланга;</w:t>
            </w:r>
            <w:r>
              <w:rPr>
                <w:rFonts w:ascii="Times New Roman" w:hAnsi="Times New Roman" w:cs="Times New Roman"/>
                <w:sz w:val="24"/>
                <w:szCs w:val="24"/>
              </w:rPr>
              <w:br/>
              <w:t>- состояние, гарантийный срок хранения и значения основных параметров ОТВ;</w:t>
            </w:r>
          </w:p>
          <w:p w:rsidR="00B24A87" w:rsidRDefault="00B24A87">
            <w:pPr>
              <w:widowControl w:val="0"/>
              <w:autoSpaceDE w:val="0"/>
              <w:autoSpaceDN w:val="0"/>
              <w:adjustRightInd w:val="0"/>
              <w:spacing w:after="0"/>
              <w:ind w:firstLine="178"/>
              <w:rPr>
                <w:rFonts w:ascii="Times New Roman" w:eastAsia="Calibri" w:hAnsi="Times New Roman" w:cs="Times New Roman"/>
                <w:u w:val="single"/>
                <w:lang w:eastAsia="ru-RU"/>
              </w:rPr>
            </w:pPr>
            <w:r>
              <w:rPr>
                <w:rFonts w:ascii="Times New Roman" w:eastAsia="Calibri" w:hAnsi="Times New Roman" w:cs="Times New Roman"/>
                <w:b/>
                <w:u w:val="single"/>
                <w:lang w:eastAsia="ru-RU"/>
              </w:rPr>
              <w:t>Эксплуатационная характеристика:</w:t>
            </w:r>
          </w:p>
          <w:p w:rsidR="00B24A87" w:rsidRDefault="00B24A87" w:rsidP="003F7F9E">
            <w:pPr>
              <w:numPr>
                <w:ilvl w:val="0"/>
                <w:numId w:val="1"/>
              </w:numPr>
              <w:tabs>
                <w:tab w:val="num" w:pos="360"/>
              </w:tabs>
              <w:spacing w:after="0" w:line="240" w:lineRule="auto"/>
              <w:ind w:left="34" w:firstLine="34"/>
              <w:rPr>
                <w:rFonts w:ascii="Times New Roman CYR" w:hAnsi="Times New Roman CYR" w:cs="Times New Roman CYR"/>
              </w:rPr>
            </w:pPr>
            <w:r>
              <w:rPr>
                <w:rFonts w:ascii="Times New Roman CYR" w:hAnsi="Times New Roman CYR" w:cs="Times New Roman CYR"/>
              </w:rPr>
              <w:t>Предусмотреть вывоз огнетушителей на ТО и доставку после ТО Заказчику (силами и средствами Исполнителя)</w:t>
            </w:r>
          </w:p>
          <w:p w:rsidR="00B24A87" w:rsidRDefault="00B24A87" w:rsidP="003F7F9E">
            <w:pPr>
              <w:numPr>
                <w:ilvl w:val="0"/>
                <w:numId w:val="1"/>
              </w:numPr>
              <w:spacing w:after="0" w:line="240" w:lineRule="auto"/>
              <w:ind w:left="317" w:hanging="283"/>
              <w:rPr>
                <w:rFonts w:ascii="Times New Roman CYR" w:hAnsi="Times New Roman CYR" w:cs="Times New Roman CYR"/>
              </w:rPr>
            </w:pPr>
            <w:r>
              <w:rPr>
                <w:rFonts w:ascii="Times New Roman CYR" w:hAnsi="Times New Roman CYR" w:cs="Times New Roman CYR"/>
              </w:rPr>
              <w:t>Предусмотреть расходные материалы и запчасти (по каждой марке)</w:t>
            </w:r>
          </w:p>
          <w:p w:rsidR="00B24A87" w:rsidRDefault="00B24A87">
            <w:pPr>
              <w:spacing w:after="0" w:line="240" w:lineRule="auto"/>
              <w:rPr>
                <w:rFonts w:ascii="Times New Roman CYR" w:hAnsi="Times New Roman CYR" w:cs="Times New Roman CYR"/>
              </w:rPr>
            </w:pPr>
          </w:p>
          <w:p w:rsidR="00B24A87" w:rsidRDefault="00B24A87">
            <w:pPr>
              <w:spacing w:after="0" w:line="240" w:lineRule="auto"/>
              <w:rPr>
                <w:rFonts w:ascii="Times New Roman CYR" w:hAnsi="Times New Roman CYR" w:cs="Times New Roman CYR"/>
              </w:rPr>
            </w:pPr>
          </w:p>
          <w:p w:rsidR="00242F89" w:rsidRDefault="00B24A87" w:rsidP="00242F89">
            <w:pPr>
              <w:spacing w:after="0" w:line="240" w:lineRule="auto"/>
              <w:rPr>
                <w:rFonts w:ascii="Times New Roman" w:hAnsi="Times New Roman" w:cs="Times New Roman"/>
                <w:sz w:val="24"/>
                <w:lang w:val="kk-KZ"/>
              </w:rPr>
            </w:pPr>
            <w:r>
              <w:rPr>
                <w:rFonts w:ascii="Times New Roman CYR" w:hAnsi="Times New Roman CYR" w:cs="Times New Roman CYR"/>
                <w:b/>
                <w:lang w:val="kk-KZ"/>
              </w:rPr>
              <w:t xml:space="preserve">Место оказание услуг: </w:t>
            </w:r>
            <w:r w:rsidR="008F6755">
              <w:rPr>
                <w:rFonts w:ascii="Times New Roman" w:hAnsi="Times New Roman" w:cs="Times New Roman"/>
                <w:sz w:val="24"/>
                <w:lang w:val="kk-KZ"/>
              </w:rPr>
              <w:t>Акмолинская область, г.Кокшетау, ул.Кенесары, 222</w:t>
            </w:r>
          </w:p>
          <w:p w:rsidR="00B24A87" w:rsidRDefault="00B24A87" w:rsidP="00B962F0">
            <w:pPr>
              <w:spacing w:after="0" w:line="240" w:lineRule="auto"/>
              <w:rPr>
                <w:rFonts w:ascii="Times New Roman CYR" w:hAnsi="Times New Roman CYR" w:cs="Times New Roman CYR"/>
                <w:lang w:val="kk-KZ"/>
              </w:rPr>
            </w:pPr>
            <w:r>
              <w:rPr>
                <w:rFonts w:ascii="Times New Roman CYR" w:hAnsi="Times New Roman CYR" w:cs="Times New Roman CYR"/>
                <w:b/>
                <w:lang w:val="kk-KZ"/>
              </w:rPr>
              <w:t xml:space="preserve">Срок оказание услуг:  </w:t>
            </w:r>
            <w:r w:rsidR="00B962F0">
              <w:rPr>
                <w:rFonts w:ascii="Times New Roman CYR" w:hAnsi="Times New Roman CYR" w:cs="Times New Roman CYR"/>
                <w:b/>
              </w:rPr>
              <w:t>в течение 16 календарных дней со дня заключения договора</w:t>
            </w:r>
          </w:p>
        </w:tc>
      </w:tr>
      <w:tr w:rsidR="00B24A87" w:rsidRPr="00B962F0" w:rsidTr="00B24A87">
        <w:trPr>
          <w:trHeight w:val="1691"/>
        </w:trPr>
        <w:tc>
          <w:tcPr>
            <w:tcW w:w="598" w:type="dxa"/>
            <w:tcBorders>
              <w:top w:val="single" w:sz="4" w:space="0" w:color="auto"/>
              <w:left w:val="single" w:sz="4" w:space="0" w:color="auto"/>
              <w:bottom w:val="single" w:sz="4" w:space="0" w:color="auto"/>
              <w:right w:val="single" w:sz="4" w:space="0" w:color="auto"/>
            </w:tcBorders>
            <w:vAlign w:val="center"/>
          </w:tcPr>
          <w:p w:rsidR="00B24A87" w:rsidRDefault="00B24A87">
            <w:pPr>
              <w:tabs>
                <w:tab w:val="left" w:pos="1080"/>
              </w:tabs>
              <w:spacing w:after="0"/>
              <w:ind w:right="39"/>
              <w:jc w:val="center"/>
              <w:rPr>
                <w:rFonts w:ascii="Times New Roman" w:eastAsia="Calibri" w:hAnsi="Times New Roman" w:cs="Times New Roman"/>
                <w:lang w:val="kk-KZ" w:eastAsia="ru-RU"/>
              </w:rPr>
            </w:pPr>
          </w:p>
          <w:p w:rsidR="00B24A87" w:rsidRDefault="00B24A87">
            <w:pPr>
              <w:tabs>
                <w:tab w:val="left" w:pos="1080"/>
              </w:tabs>
              <w:spacing w:after="0"/>
              <w:ind w:right="39"/>
              <w:jc w:val="center"/>
              <w:rPr>
                <w:rFonts w:ascii="Times New Roman" w:eastAsia="Calibri" w:hAnsi="Times New Roman" w:cs="Times New Roman"/>
                <w:lang w:val="kk-KZ" w:eastAsia="ru-RU"/>
              </w:rPr>
            </w:pPr>
          </w:p>
          <w:p w:rsidR="00B24A87" w:rsidRDefault="00B24A87">
            <w:pPr>
              <w:tabs>
                <w:tab w:val="left" w:pos="1080"/>
              </w:tabs>
              <w:spacing w:after="0"/>
              <w:ind w:right="39"/>
              <w:jc w:val="center"/>
              <w:rPr>
                <w:rFonts w:ascii="Times New Roman" w:eastAsia="Calibri" w:hAnsi="Times New Roman" w:cs="Times New Roman"/>
                <w:lang w:val="kk-KZ" w:eastAsia="ru-RU"/>
              </w:rPr>
            </w:pPr>
          </w:p>
          <w:p w:rsidR="00B24A87" w:rsidRDefault="00B24A87">
            <w:pPr>
              <w:tabs>
                <w:tab w:val="left" w:pos="1080"/>
              </w:tabs>
              <w:spacing w:after="0"/>
              <w:ind w:right="39"/>
              <w:jc w:val="center"/>
              <w:rPr>
                <w:rFonts w:ascii="Times New Roman" w:eastAsia="Calibri" w:hAnsi="Times New Roman" w:cs="Times New Roman"/>
                <w:lang w:val="kk-KZ" w:eastAsia="ru-RU"/>
              </w:rPr>
            </w:pPr>
          </w:p>
          <w:p w:rsidR="00B24A87" w:rsidRDefault="00B24A87">
            <w:pPr>
              <w:tabs>
                <w:tab w:val="left" w:pos="1080"/>
              </w:tabs>
              <w:spacing w:after="0"/>
              <w:ind w:right="39"/>
              <w:jc w:val="center"/>
              <w:rPr>
                <w:rFonts w:ascii="Times New Roman" w:eastAsia="Calibri" w:hAnsi="Times New Roman" w:cs="Times New Roman"/>
                <w:lang w:val="kk-KZ" w:eastAsia="ru-RU"/>
              </w:rPr>
            </w:pPr>
          </w:p>
          <w:p w:rsidR="00B24A87" w:rsidRDefault="00B24A87">
            <w:pPr>
              <w:tabs>
                <w:tab w:val="left" w:pos="1080"/>
              </w:tabs>
              <w:spacing w:after="0"/>
              <w:ind w:right="39"/>
              <w:jc w:val="center"/>
              <w:rPr>
                <w:rFonts w:ascii="Times New Roman" w:eastAsia="Calibri" w:hAnsi="Times New Roman" w:cs="Times New Roman"/>
                <w:lang w:val="kk-KZ" w:eastAsia="ru-RU"/>
              </w:rPr>
            </w:pPr>
          </w:p>
          <w:p w:rsidR="00B24A87" w:rsidRDefault="00B24A87">
            <w:pPr>
              <w:tabs>
                <w:tab w:val="left" w:pos="1080"/>
              </w:tabs>
              <w:spacing w:after="0"/>
              <w:ind w:right="39"/>
              <w:jc w:val="center"/>
              <w:rPr>
                <w:rFonts w:ascii="Times New Roman" w:eastAsia="Calibri" w:hAnsi="Times New Roman" w:cs="Times New Roman"/>
                <w:lang w:val="kk-KZ" w:eastAsia="ru-RU"/>
              </w:rPr>
            </w:pPr>
          </w:p>
          <w:p w:rsidR="00B24A87" w:rsidRDefault="00B24A87">
            <w:pPr>
              <w:tabs>
                <w:tab w:val="left" w:pos="1080"/>
              </w:tabs>
              <w:spacing w:after="0"/>
              <w:ind w:right="39"/>
              <w:jc w:val="center"/>
              <w:rPr>
                <w:rFonts w:ascii="Times New Roman" w:eastAsia="Calibri" w:hAnsi="Times New Roman" w:cs="Times New Roman"/>
                <w:lang w:val="kk-KZ" w:eastAsia="ru-RU"/>
              </w:rPr>
            </w:pPr>
          </w:p>
          <w:p w:rsidR="00B24A87" w:rsidRDefault="00B24A87">
            <w:pPr>
              <w:tabs>
                <w:tab w:val="left" w:pos="1080"/>
              </w:tabs>
              <w:spacing w:after="0"/>
              <w:ind w:right="39"/>
              <w:jc w:val="center"/>
              <w:rPr>
                <w:rFonts w:ascii="Times New Roman" w:eastAsia="Calibri" w:hAnsi="Times New Roman" w:cs="Times New Roman"/>
                <w:lang w:val="kk-KZ" w:eastAsia="ru-RU"/>
              </w:rPr>
            </w:pPr>
          </w:p>
        </w:tc>
        <w:tc>
          <w:tcPr>
            <w:tcW w:w="1728" w:type="dxa"/>
            <w:tcBorders>
              <w:top w:val="single" w:sz="4" w:space="0" w:color="auto"/>
              <w:left w:val="single" w:sz="4" w:space="0" w:color="auto"/>
              <w:bottom w:val="single" w:sz="4" w:space="0" w:color="auto"/>
              <w:right w:val="single" w:sz="4" w:space="0" w:color="auto"/>
            </w:tcBorders>
            <w:vAlign w:val="center"/>
          </w:tcPr>
          <w:p w:rsidR="00B24A87" w:rsidRDefault="00B24A87">
            <w:pPr>
              <w:widowControl w:val="0"/>
              <w:autoSpaceDE w:val="0"/>
              <w:autoSpaceDN w:val="0"/>
              <w:adjustRightInd w:val="0"/>
              <w:spacing w:after="0"/>
              <w:jc w:val="center"/>
              <w:rPr>
                <w:rFonts w:ascii="Times New Roman" w:eastAsia="Calibri" w:hAnsi="Times New Roman" w:cs="Times New Roman"/>
                <w:b/>
                <w:lang w:val="kk-KZ" w:eastAsia="ru-RU"/>
              </w:rPr>
            </w:pPr>
            <w:r>
              <w:rPr>
                <w:rFonts w:ascii="Times New Roman" w:eastAsia="Calibri" w:hAnsi="Times New Roman" w:cs="Times New Roman"/>
                <w:b/>
                <w:lang w:val="kk-KZ" w:eastAsia="ru-RU"/>
              </w:rPr>
              <w:t xml:space="preserve">-Өрт сөндіргіштерін қайта зарядтау қызметі, кемінде </w:t>
            </w:r>
            <w:r w:rsidR="00B962F0">
              <w:rPr>
                <w:rFonts w:ascii="Times New Roman" w:eastAsia="Calibri" w:hAnsi="Times New Roman" w:cs="Times New Roman"/>
                <w:b/>
                <w:lang w:val="kk-KZ" w:eastAsia="ru-RU"/>
              </w:rPr>
              <w:t>85 дана</w:t>
            </w:r>
          </w:p>
          <w:p w:rsidR="00B24A87" w:rsidRDefault="00B24A87">
            <w:pPr>
              <w:widowControl w:val="0"/>
              <w:autoSpaceDE w:val="0"/>
              <w:autoSpaceDN w:val="0"/>
              <w:adjustRightInd w:val="0"/>
              <w:spacing w:after="0"/>
              <w:jc w:val="center"/>
              <w:rPr>
                <w:rFonts w:ascii="Times New Roman" w:eastAsia="Calibri" w:hAnsi="Times New Roman" w:cs="Times New Roman"/>
                <w:lang w:val="kk-KZ" w:eastAsia="ru-RU"/>
              </w:rPr>
            </w:pPr>
          </w:p>
          <w:p w:rsidR="00B24A87" w:rsidRDefault="00B24A87">
            <w:pPr>
              <w:widowControl w:val="0"/>
              <w:autoSpaceDE w:val="0"/>
              <w:autoSpaceDN w:val="0"/>
              <w:adjustRightInd w:val="0"/>
              <w:spacing w:after="0"/>
              <w:jc w:val="center"/>
              <w:rPr>
                <w:rFonts w:ascii="Times New Roman" w:eastAsia="Calibri" w:hAnsi="Times New Roman" w:cs="Times New Roman"/>
                <w:lang w:val="kk-KZ" w:eastAsia="ru-RU"/>
              </w:rPr>
            </w:pPr>
          </w:p>
          <w:p w:rsidR="00B24A87" w:rsidRDefault="00B24A87">
            <w:pPr>
              <w:widowControl w:val="0"/>
              <w:autoSpaceDE w:val="0"/>
              <w:autoSpaceDN w:val="0"/>
              <w:adjustRightInd w:val="0"/>
              <w:spacing w:after="0"/>
              <w:jc w:val="center"/>
              <w:rPr>
                <w:rFonts w:ascii="Times New Roman" w:eastAsia="Calibri" w:hAnsi="Times New Roman" w:cs="Times New Roman"/>
                <w:lang w:val="kk-KZ" w:eastAsia="ru-RU"/>
              </w:rPr>
            </w:pPr>
          </w:p>
          <w:p w:rsidR="00B24A87" w:rsidRDefault="00B24A87">
            <w:pPr>
              <w:widowControl w:val="0"/>
              <w:autoSpaceDE w:val="0"/>
              <w:autoSpaceDN w:val="0"/>
              <w:adjustRightInd w:val="0"/>
              <w:spacing w:after="0"/>
              <w:jc w:val="center"/>
              <w:rPr>
                <w:rFonts w:ascii="Times New Roman" w:eastAsia="Calibri" w:hAnsi="Times New Roman" w:cs="Times New Roman"/>
                <w:lang w:val="kk-KZ" w:eastAsia="ru-RU"/>
              </w:rPr>
            </w:pPr>
          </w:p>
          <w:p w:rsidR="00B24A87" w:rsidRDefault="00B24A87">
            <w:pPr>
              <w:widowControl w:val="0"/>
              <w:autoSpaceDE w:val="0"/>
              <w:autoSpaceDN w:val="0"/>
              <w:adjustRightInd w:val="0"/>
              <w:spacing w:after="0"/>
              <w:jc w:val="center"/>
              <w:rPr>
                <w:rFonts w:ascii="Times New Roman" w:eastAsia="Calibri" w:hAnsi="Times New Roman" w:cs="Times New Roman"/>
                <w:lang w:val="kk-KZ" w:eastAsia="ru-RU"/>
              </w:rPr>
            </w:pPr>
          </w:p>
          <w:p w:rsidR="00B24A87" w:rsidRDefault="00B24A87">
            <w:pPr>
              <w:widowControl w:val="0"/>
              <w:autoSpaceDE w:val="0"/>
              <w:autoSpaceDN w:val="0"/>
              <w:adjustRightInd w:val="0"/>
              <w:spacing w:after="0"/>
              <w:jc w:val="center"/>
              <w:rPr>
                <w:rFonts w:ascii="Times New Roman" w:eastAsia="Calibri" w:hAnsi="Times New Roman" w:cs="Times New Roman"/>
                <w:lang w:val="kk-KZ" w:eastAsia="ru-RU"/>
              </w:rPr>
            </w:pPr>
          </w:p>
          <w:p w:rsidR="00B24A87" w:rsidRDefault="00B24A87">
            <w:pPr>
              <w:widowControl w:val="0"/>
              <w:autoSpaceDE w:val="0"/>
              <w:autoSpaceDN w:val="0"/>
              <w:adjustRightInd w:val="0"/>
              <w:spacing w:after="0"/>
              <w:jc w:val="center"/>
              <w:rPr>
                <w:rFonts w:ascii="Times New Roman" w:eastAsia="Calibri" w:hAnsi="Times New Roman" w:cs="Times New Roman"/>
                <w:lang w:val="kk-KZ" w:eastAsia="ru-RU"/>
              </w:rPr>
            </w:pPr>
          </w:p>
          <w:p w:rsidR="00B24A87" w:rsidRDefault="00B24A87">
            <w:pPr>
              <w:widowControl w:val="0"/>
              <w:autoSpaceDE w:val="0"/>
              <w:autoSpaceDN w:val="0"/>
              <w:adjustRightInd w:val="0"/>
              <w:spacing w:after="0"/>
              <w:jc w:val="center"/>
              <w:rPr>
                <w:rFonts w:ascii="Times New Roman" w:eastAsia="Calibri" w:hAnsi="Times New Roman" w:cs="Times New Roman"/>
                <w:lang w:val="kk-KZ" w:eastAsia="ru-RU"/>
              </w:rPr>
            </w:pPr>
          </w:p>
          <w:p w:rsidR="00B24A87" w:rsidRDefault="00B24A87">
            <w:pPr>
              <w:widowControl w:val="0"/>
              <w:autoSpaceDE w:val="0"/>
              <w:autoSpaceDN w:val="0"/>
              <w:adjustRightInd w:val="0"/>
              <w:spacing w:after="0"/>
              <w:jc w:val="center"/>
              <w:rPr>
                <w:rFonts w:ascii="Times New Roman" w:eastAsia="Calibri" w:hAnsi="Times New Roman" w:cs="Times New Roman"/>
                <w:lang w:val="kk-KZ" w:eastAsia="ru-RU"/>
              </w:rPr>
            </w:pPr>
          </w:p>
        </w:tc>
        <w:tc>
          <w:tcPr>
            <w:tcW w:w="11990" w:type="dxa"/>
            <w:tcBorders>
              <w:top w:val="single" w:sz="4" w:space="0" w:color="auto"/>
              <w:left w:val="single" w:sz="4" w:space="0" w:color="auto"/>
              <w:bottom w:val="single" w:sz="4" w:space="0" w:color="auto"/>
              <w:right w:val="single" w:sz="4" w:space="0" w:color="auto"/>
            </w:tcBorders>
          </w:tcPr>
          <w:p w:rsidR="00B24A87" w:rsidRDefault="00B24A87">
            <w:pPr>
              <w:widowControl w:val="0"/>
              <w:autoSpaceDE w:val="0"/>
              <w:autoSpaceDN w:val="0"/>
              <w:adjustRightInd w:val="0"/>
              <w:spacing w:after="0"/>
              <w:ind w:firstLine="178"/>
              <w:jc w:val="center"/>
              <w:rPr>
                <w:rFonts w:ascii="Times New Roman" w:eastAsia="Calibri" w:hAnsi="Times New Roman" w:cs="Times New Roman"/>
                <w:b/>
                <w:u w:val="single"/>
                <w:lang w:val="kk-KZ" w:eastAsia="ru-RU"/>
              </w:rPr>
            </w:pPr>
            <w:r>
              <w:rPr>
                <w:rFonts w:ascii="Times New Roman" w:eastAsia="Calibri" w:hAnsi="Times New Roman" w:cs="Times New Roman"/>
                <w:b/>
                <w:u w:val="single"/>
                <w:lang w:val="kk-KZ" w:eastAsia="ru-RU"/>
              </w:rPr>
              <w:lastRenderedPageBreak/>
              <w:t>Функционалдық сипаттамасы: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Өрт сөндіргіштерді қайта зарядтауға сыртқы және ішкі тексеру, жөндеу, беріктікке гидравликалық сынау, корпустың, іске қосу бастиегінің, шлангтың, бекіту құрылғысының герметикалығына пневматикалық сынау және өрт сөндіргішті бояу кіреді. Қайта зарядтаудан өткен өрт сөндіргіштер 2 жыл бойы техникалық жағдайға сәйкес болуы тиіс.</w:t>
            </w:r>
          </w:p>
          <w:p w:rsidR="00B24A87" w:rsidRDefault="00B24A87">
            <w:pPr>
              <w:widowControl w:val="0"/>
              <w:autoSpaceDE w:val="0"/>
              <w:autoSpaceDN w:val="0"/>
              <w:adjustRightInd w:val="0"/>
              <w:spacing w:after="0"/>
              <w:ind w:firstLine="178"/>
              <w:jc w:val="center"/>
              <w:rPr>
                <w:rFonts w:ascii="Times New Roman" w:eastAsia="Calibri" w:hAnsi="Times New Roman" w:cs="Times New Roman"/>
                <w:b/>
                <w:u w:val="single"/>
                <w:lang w:val="kk-KZ" w:eastAsia="ru-RU"/>
              </w:rPr>
            </w:pPr>
            <w:r>
              <w:rPr>
                <w:rFonts w:ascii="Times New Roman" w:eastAsia="Calibri" w:hAnsi="Times New Roman" w:cs="Times New Roman"/>
                <w:b/>
                <w:u w:val="single"/>
                <w:lang w:val="kk-KZ" w:eastAsia="ru-RU"/>
              </w:rPr>
              <w:t>Техникалық сипаттамасы: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Техникалық ақаулы өрт сөндіргіштерді қайта зарядтау мүмкін болмаған жағдайда жарамсыз өрт сөндіргіштерді ақауларды көрсете отырып, жарамсыз өрт сөндіргіштерді таңдап алудың көрсетілген нысанының актісі жасалады.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Өрт сөндіргіштерді қайта зарядтағаннан кейін Жеткізуші Тапсырыс берушіге құжаттарды (орындалған жұмыс актілерін, жарамсыз ету актілерін) толтырады және ұсынады.</w:t>
            </w:r>
          </w:p>
          <w:p w:rsidR="00B24A87" w:rsidRDefault="00B24A87">
            <w:pPr>
              <w:widowControl w:val="0"/>
              <w:autoSpaceDE w:val="0"/>
              <w:autoSpaceDN w:val="0"/>
              <w:adjustRightInd w:val="0"/>
              <w:spacing w:after="0"/>
              <w:ind w:firstLine="178"/>
              <w:jc w:val="center"/>
              <w:rPr>
                <w:rFonts w:ascii="Times New Roman" w:eastAsia="Calibri" w:hAnsi="Times New Roman" w:cs="Times New Roman"/>
                <w:lang w:val="kk-KZ" w:eastAsia="ru-RU"/>
              </w:rPr>
            </w:pPr>
            <w:r>
              <w:rPr>
                <w:rFonts w:ascii="Times New Roman" w:eastAsia="Calibri" w:hAnsi="Times New Roman" w:cs="Times New Roman"/>
                <w:lang w:val="kk-KZ" w:eastAsia="ru-RU"/>
              </w:rPr>
              <w:t>Қызмет көрсетудің кепілдік мерзімі орындалған қызмет актісіне қол қойылған күннен бастап 12 айды құрайды.</w:t>
            </w:r>
          </w:p>
          <w:p w:rsidR="00B24A87" w:rsidRDefault="00B24A87">
            <w:pPr>
              <w:widowControl w:val="0"/>
              <w:autoSpaceDE w:val="0"/>
              <w:autoSpaceDN w:val="0"/>
              <w:adjustRightInd w:val="0"/>
              <w:spacing w:after="0"/>
              <w:ind w:firstLine="178"/>
              <w:jc w:val="center"/>
              <w:rPr>
                <w:rFonts w:ascii="Times New Roman" w:eastAsia="Calibri" w:hAnsi="Times New Roman" w:cs="Times New Roman"/>
                <w:b/>
                <w:u w:val="single"/>
                <w:lang w:val="kk-KZ" w:eastAsia="ru-RU"/>
              </w:rPr>
            </w:pPr>
            <w:r>
              <w:rPr>
                <w:rFonts w:ascii="Times New Roman" w:eastAsia="Calibri" w:hAnsi="Times New Roman" w:cs="Times New Roman"/>
                <w:b/>
                <w:u w:val="single"/>
                <w:lang w:val="kk-KZ" w:eastAsia="ru-RU"/>
              </w:rPr>
              <w:t>Сапалық сипаттамасы: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Сыртқы тексеру жүргізу барысында сыртқы тексеру жүргізуге назар аудару қажет.:</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lastRenderedPageBreak/>
              <w:t>- корпуста, басқару тораптарында, гайкаларда және өрт сөндіргіштің бастарында жаншылудың, сынудың, терең сызаттардың болуы;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қорғаныш және лак-бояу жабындарының жай-күйі;</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анық және түсінікті нұсқаудың болуы;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пломбаланған сақтандыру құрылғысының болуы;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xml:space="preserve">- манометрдің немесе қысым индикаторының жарамдылығы (егер ол өрт сөндіргіш конструкциясында көзделген болса), қажетті таңбаның болуы және айдау түріндегі өрт сөндіргіштегі немесе газ баллонындағы қысым шамасы; </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өрт сөндіргіштің массасын, сондай-ақ өрт сөндіргіштің массасын (соңғысы есептік жолмен анықталады);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иілгіш шлангтың (ол болған жағдайда) және шашыратқыштың жай-күйі (механикалық зақымданулардың, коррозия іздерінің, құю қабатының немесе өрт сөндіргіштен еркін шығуына кедергі келтіретін басқа да заттардың болуы));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жүріс бөлігінің жағдайы және арбада (жылжымалы өрт сөндіргіш үшін), қабырғада немесе өрт шкафында (жылжымалы өрт сөндіргіш үшін) өрт сөндіргіш корпусының Бекітілу сенімділігі);</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өрт сөндіргіш корпусының ішкі бетінің жай-күйі (жаншылудың немесе металдың кебуінің болуы, қорғаныс жабынының қатпарлануы);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коррозия іздерінің болуы;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төсемдердің, манжеттердің немесе басқа да тығыздағыштар түрлерінің жай-күйі;</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сақтандырғыш құрылғылардың, сүзгілердің, қысымды өлшеу аспаптарының, редукторлардың, вентильдердің, бекіту құрылғыларының және олардың отыратын орындарының жағдайы;</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газ баллонының салмағы, оны кезекті сынау мерзімі немесе газ генерациялайтын элементті кепілді пайдалану мерзімі;</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шлангты Бекіту беті мен тораптарының жай-күйі;</w:t>
            </w:r>
          </w:p>
          <w:p w:rsidR="00B24A87" w:rsidRDefault="00B24A87">
            <w:pPr>
              <w:widowControl w:val="0"/>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 ЖТ негізгі параметрлерінің жағдайы, кепілдік сақтау мерзімі және мәні;</w:t>
            </w:r>
          </w:p>
          <w:p w:rsidR="00B24A87" w:rsidRDefault="00B24A87">
            <w:pPr>
              <w:widowControl w:val="0"/>
              <w:autoSpaceDE w:val="0"/>
              <w:autoSpaceDN w:val="0"/>
              <w:adjustRightInd w:val="0"/>
              <w:spacing w:after="0"/>
              <w:ind w:firstLine="178"/>
              <w:jc w:val="center"/>
              <w:rPr>
                <w:rFonts w:ascii="Times New Roman" w:eastAsia="Calibri" w:hAnsi="Times New Roman" w:cs="Times New Roman"/>
                <w:b/>
                <w:u w:val="single"/>
                <w:lang w:val="kk-KZ" w:eastAsia="ru-RU"/>
              </w:rPr>
            </w:pPr>
            <w:r>
              <w:rPr>
                <w:rFonts w:ascii="Times New Roman" w:eastAsia="Calibri" w:hAnsi="Times New Roman" w:cs="Times New Roman"/>
                <w:b/>
                <w:u w:val="single"/>
                <w:lang w:val="kk-KZ" w:eastAsia="ru-RU"/>
              </w:rPr>
              <w:t>Пайдалану сипаттамасы:</w:t>
            </w:r>
          </w:p>
          <w:p w:rsidR="00B24A87" w:rsidRDefault="00B24A87">
            <w:pPr>
              <w:widowControl w:val="0"/>
              <w:tabs>
                <w:tab w:val="left" w:pos="459"/>
              </w:tabs>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1.</w:t>
            </w:r>
            <w:r>
              <w:rPr>
                <w:rFonts w:ascii="Times New Roman" w:eastAsia="Calibri" w:hAnsi="Times New Roman" w:cs="Times New Roman"/>
                <w:lang w:val="kk-KZ" w:eastAsia="ru-RU"/>
              </w:rPr>
              <w:tab/>
              <w:t>Өрт сөндіргіштерді ТҚК-ға шығаруды және ТҚК-дан кейін Тапсырыс берушіге жеткізуді қарастыру (Орындаушының күшімен және құралдарымен)</w:t>
            </w:r>
            <w:bookmarkStart w:id="0" w:name="_GoBack"/>
            <w:bookmarkEnd w:id="0"/>
          </w:p>
          <w:p w:rsidR="00B24A87" w:rsidRDefault="00B24A87">
            <w:pPr>
              <w:widowControl w:val="0"/>
              <w:tabs>
                <w:tab w:val="left" w:pos="459"/>
              </w:tabs>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lang w:val="kk-KZ" w:eastAsia="ru-RU"/>
              </w:rPr>
              <w:t>2.</w:t>
            </w:r>
            <w:r>
              <w:rPr>
                <w:rFonts w:ascii="Times New Roman" w:eastAsia="Calibri" w:hAnsi="Times New Roman" w:cs="Times New Roman"/>
                <w:lang w:val="kk-KZ" w:eastAsia="ru-RU"/>
              </w:rPr>
              <w:tab/>
              <w:t>Шығыс материалдары мен қосалқы бөлшектерді көздеу (әрбір маркасы бойынша)</w:t>
            </w:r>
          </w:p>
          <w:p w:rsidR="00B24A87" w:rsidRDefault="00B24A87">
            <w:pPr>
              <w:widowControl w:val="0"/>
              <w:tabs>
                <w:tab w:val="left" w:pos="459"/>
              </w:tabs>
              <w:autoSpaceDE w:val="0"/>
              <w:autoSpaceDN w:val="0"/>
              <w:adjustRightInd w:val="0"/>
              <w:spacing w:after="0"/>
              <w:ind w:firstLine="178"/>
              <w:jc w:val="both"/>
              <w:rPr>
                <w:rFonts w:ascii="Times New Roman" w:eastAsia="Calibri" w:hAnsi="Times New Roman" w:cs="Times New Roman"/>
                <w:lang w:val="kk-KZ" w:eastAsia="ru-RU"/>
              </w:rPr>
            </w:pPr>
          </w:p>
          <w:p w:rsidR="00B24A87" w:rsidRDefault="00B24A87">
            <w:pPr>
              <w:widowControl w:val="0"/>
              <w:tabs>
                <w:tab w:val="left" w:pos="459"/>
              </w:tabs>
              <w:autoSpaceDE w:val="0"/>
              <w:autoSpaceDN w:val="0"/>
              <w:adjustRightInd w:val="0"/>
              <w:spacing w:after="0"/>
              <w:ind w:firstLine="178"/>
              <w:jc w:val="both"/>
              <w:rPr>
                <w:rFonts w:ascii="Times New Roman" w:eastAsia="Calibri" w:hAnsi="Times New Roman" w:cs="Times New Roman"/>
                <w:lang w:val="kk-KZ" w:eastAsia="ru-RU"/>
              </w:rPr>
            </w:pPr>
          </w:p>
          <w:p w:rsidR="00B24A87" w:rsidRDefault="00B24A87">
            <w:pPr>
              <w:widowControl w:val="0"/>
              <w:tabs>
                <w:tab w:val="left" w:pos="459"/>
              </w:tabs>
              <w:autoSpaceDE w:val="0"/>
              <w:autoSpaceDN w:val="0"/>
              <w:adjustRightInd w:val="0"/>
              <w:spacing w:after="0"/>
              <w:ind w:firstLine="178"/>
              <w:jc w:val="both"/>
              <w:rPr>
                <w:rFonts w:ascii="Times New Roman" w:eastAsia="Calibri" w:hAnsi="Times New Roman" w:cs="Times New Roman"/>
                <w:lang w:val="kk-KZ" w:eastAsia="ru-RU"/>
              </w:rPr>
            </w:pPr>
          </w:p>
          <w:p w:rsidR="008F6755" w:rsidRDefault="00B24A87" w:rsidP="00242F89">
            <w:pPr>
              <w:widowControl w:val="0"/>
              <w:tabs>
                <w:tab w:val="left" w:pos="459"/>
              </w:tabs>
              <w:autoSpaceDE w:val="0"/>
              <w:autoSpaceDN w:val="0"/>
              <w:adjustRightInd w:val="0"/>
              <w:spacing w:after="0"/>
              <w:ind w:firstLine="178"/>
              <w:jc w:val="both"/>
              <w:rPr>
                <w:rFonts w:ascii="Times New Roman" w:hAnsi="Times New Roman" w:cs="Times New Roman"/>
                <w:sz w:val="24"/>
                <w:lang w:val="kk-KZ"/>
              </w:rPr>
            </w:pPr>
            <w:r>
              <w:rPr>
                <w:rFonts w:ascii="Times New Roman" w:eastAsia="Calibri" w:hAnsi="Times New Roman" w:cs="Times New Roman"/>
                <w:b/>
                <w:lang w:val="kk-KZ" w:eastAsia="ru-RU"/>
              </w:rPr>
              <w:t xml:space="preserve">Қызмет көрсету орны: </w:t>
            </w:r>
            <w:r w:rsidR="008F6755">
              <w:rPr>
                <w:rFonts w:ascii="Times New Roman" w:hAnsi="Times New Roman" w:cs="Times New Roman"/>
                <w:sz w:val="24"/>
                <w:lang w:val="kk-KZ"/>
              </w:rPr>
              <w:t>Акмолинская область, г.Кокшетау, ул.Кенесары, 222</w:t>
            </w:r>
          </w:p>
          <w:p w:rsidR="00B24A87" w:rsidRPr="00B962F0" w:rsidRDefault="00B24A87" w:rsidP="00242F89">
            <w:pPr>
              <w:widowControl w:val="0"/>
              <w:tabs>
                <w:tab w:val="left" w:pos="459"/>
              </w:tabs>
              <w:autoSpaceDE w:val="0"/>
              <w:autoSpaceDN w:val="0"/>
              <w:adjustRightInd w:val="0"/>
              <w:spacing w:after="0"/>
              <w:ind w:firstLine="178"/>
              <w:jc w:val="both"/>
              <w:rPr>
                <w:rFonts w:ascii="Times New Roman" w:eastAsia="Calibri" w:hAnsi="Times New Roman" w:cs="Times New Roman"/>
                <w:lang w:val="kk-KZ" w:eastAsia="ru-RU"/>
              </w:rPr>
            </w:pPr>
            <w:r>
              <w:rPr>
                <w:rFonts w:ascii="Times New Roman" w:eastAsia="Calibri" w:hAnsi="Times New Roman" w:cs="Times New Roman"/>
                <w:b/>
                <w:lang w:val="kk-KZ" w:eastAsia="ru-RU"/>
              </w:rPr>
              <w:t xml:space="preserve">Қызмет көрсету мерзімі: </w:t>
            </w:r>
            <w:r w:rsidR="00B962F0" w:rsidRPr="00B962F0">
              <w:rPr>
                <w:rFonts w:ascii="Arial" w:hAnsi="Arial" w:cs="Arial"/>
                <w:b/>
                <w:color w:val="000000"/>
                <w:sz w:val="21"/>
                <w:szCs w:val="21"/>
                <w:lang w:val="kk-KZ"/>
              </w:rPr>
              <w:t>шарт жасалған күннен бастап 16 күнтізбелік күн ішінде</w:t>
            </w:r>
          </w:p>
        </w:tc>
      </w:tr>
    </w:tbl>
    <w:p w:rsidR="00874FD0" w:rsidRPr="00B24A87" w:rsidRDefault="00874FD0">
      <w:pPr>
        <w:rPr>
          <w:lang w:val="kk-KZ"/>
        </w:rPr>
      </w:pPr>
    </w:p>
    <w:sectPr w:rsidR="00874FD0" w:rsidRPr="00B24A87" w:rsidSect="00427785">
      <w:pgSz w:w="16838" w:h="11906" w:orient="landscape"/>
      <w:pgMar w:top="850" w:right="1245"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F4FEA"/>
    <w:multiLevelType w:val="hybridMultilevel"/>
    <w:tmpl w:val="2F289C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85"/>
    <w:rsid w:val="001552D1"/>
    <w:rsid w:val="00192B0A"/>
    <w:rsid w:val="0021537D"/>
    <w:rsid w:val="00242F89"/>
    <w:rsid w:val="003A5A13"/>
    <w:rsid w:val="00427785"/>
    <w:rsid w:val="00450896"/>
    <w:rsid w:val="004E17D7"/>
    <w:rsid w:val="005B5C91"/>
    <w:rsid w:val="00645656"/>
    <w:rsid w:val="0070263F"/>
    <w:rsid w:val="00753BAE"/>
    <w:rsid w:val="008073D0"/>
    <w:rsid w:val="00874FD0"/>
    <w:rsid w:val="008F6755"/>
    <w:rsid w:val="00A617CD"/>
    <w:rsid w:val="00B24A87"/>
    <w:rsid w:val="00B962F0"/>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FDFF"/>
  <w15:docId w15:val="{54C4354A-D2EB-4A54-AA0E-3D7C7D3D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78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7785"/>
    <w:pPr>
      <w:spacing w:after="0" w:line="240" w:lineRule="auto"/>
    </w:pPr>
  </w:style>
  <w:style w:type="table" w:styleId="a4">
    <w:name w:val="Table Grid"/>
    <w:basedOn w:val="a1"/>
    <w:uiPriority w:val="59"/>
    <w:rsid w:val="00427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2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27785"/>
    <w:rPr>
      <w:rFonts w:ascii="Courier New" w:eastAsia="Times New Roman" w:hAnsi="Courier New" w:cs="Courier New"/>
      <w:sz w:val="20"/>
      <w:szCs w:val="20"/>
      <w:lang w:eastAsia="ru-RU"/>
    </w:rPr>
  </w:style>
  <w:style w:type="paragraph" w:styleId="a5">
    <w:name w:val="Normal (Web)"/>
    <w:basedOn w:val="a"/>
    <w:uiPriority w:val="99"/>
    <w:semiHidden/>
    <w:unhideWhenUsed/>
    <w:rsid w:val="00B24A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24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05763">
      <w:bodyDiv w:val="1"/>
      <w:marLeft w:val="0"/>
      <w:marRight w:val="0"/>
      <w:marTop w:val="0"/>
      <w:marBottom w:val="0"/>
      <w:divBdr>
        <w:top w:val="none" w:sz="0" w:space="0" w:color="auto"/>
        <w:left w:val="none" w:sz="0" w:space="0" w:color="auto"/>
        <w:bottom w:val="none" w:sz="0" w:space="0" w:color="auto"/>
        <w:right w:val="none" w:sz="0" w:space="0" w:color="auto"/>
      </w:divBdr>
    </w:div>
    <w:div w:id="1422992375">
      <w:bodyDiv w:val="1"/>
      <w:marLeft w:val="0"/>
      <w:marRight w:val="0"/>
      <w:marTop w:val="0"/>
      <w:marBottom w:val="0"/>
      <w:divBdr>
        <w:top w:val="none" w:sz="0" w:space="0" w:color="auto"/>
        <w:left w:val="none" w:sz="0" w:space="0" w:color="auto"/>
        <w:bottom w:val="none" w:sz="0" w:space="0" w:color="auto"/>
        <w:right w:val="none" w:sz="0" w:space="0" w:color="auto"/>
      </w:divBdr>
    </w:div>
    <w:div w:id="20653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School-Admin</dc:creator>
  <cp:keywords/>
  <dc:description/>
  <cp:lastModifiedBy>User</cp:lastModifiedBy>
  <cp:revision>19</cp:revision>
  <dcterms:created xsi:type="dcterms:W3CDTF">2020-01-29T11:37:00Z</dcterms:created>
  <dcterms:modified xsi:type="dcterms:W3CDTF">2025-02-06T12:04:00Z</dcterms:modified>
</cp:coreProperties>
</file>