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28F" w:rsidRDefault="00D0428F">
      <w:pPr>
        <w:pStyle w:val="Standard"/>
        <w:rPr>
          <w:i/>
          <w:sz w:val="22"/>
          <w:szCs w:val="22"/>
        </w:rPr>
      </w:pPr>
    </w:p>
    <w:p w:rsidR="00D0428F" w:rsidRDefault="0064070E">
      <w:pPr>
        <w:pStyle w:val="Standard"/>
        <w:jc w:val="right"/>
      </w:pPr>
      <w:r>
        <w:rPr>
          <w:i/>
          <w:sz w:val="28"/>
          <w:szCs w:val="28"/>
        </w:rPr>
        <w:t>Приложение 2 к Договору</w:t>
      </w:r>
    </w:p>
    <w:p w:rsidR="00D0428F" w:rsidRDefault="0064070E">
      <w:pPr>
        <w:pStyle w:val="Standard"/>
        <w:jc w:val="right"/>
      </w:pPr>
      <w:r>
        <w:rPr>
          <w:i/>
          <w:sz w:val="28"/>
          <w:szCs w:val="28"/>
        </w:rPr>
        <w:t xml:space="preserve"> от «___» _______ 20</w:t>
      </w:r>
      <w:r>
        <w:rPr>
          <w:i/>
          <w:sz w:val="28"/>
          <w:szCs w:val="28"/>
          <w:lang w:val="kk-KZ"/>
        </w:rPr>
        <w:t>2</w:t>
      </w:r>
      <w:r w:rsidR="00792132">
        <w:rPr>
          <w:i/>
          <w:sz w:val="28"/>
          <w:szCs w:val="28"/>
        </w:rPr>
        <w:t>5</w:t>
      </w:r>
      <w:bookmarkStart w:id="0" w:name="_GoBack"/>
      <w:bookmarkEnd w:id="0"/>
      <w:r w:rsidR="00BD6C12" w:rsidRPr="00792132">
        <w:rPr>
          <w:i/>
          <w:sz w:val="28"/>
          <w:szCs w:val="28"/>
        </w:rPr>
        <w:t xml:space="preserve"> </w:t>
      </w:r>
      <w:r>
        <w:rPr>
          <w:i/>
          <w:sz w:val="28"/>
          <w:szCs w:val="28"/>
        </w:rPr>
        <w:t xml:space="preserve"> года № ___</w:t>
      </w:r>
    </w:p>
    <w:p w:rsidR="00D0428F" w:rsidRDefault="00D0428F">
      <w:pPr>
        <w:pStyle w:val="Standard"/>
        <w:jc w:val="center"/>
        <w:rPr>
          <w:b/>
          <w:sz w:val="28"/>
          <w:szCs w:val="28"/>
        </w:rPr>
      </w:pPr>
    </w:p>
    <w:p w:rsidR="00D0428F" w:rsidRDefault="0064070E">
      <w:pPr>
        <w:pStyle w:val="Standard"/>
        <w:jc w:val="center"/>
      </w:pPr>
      <w:r>
        <w:rPr>
          <w:b/>
          <w:sz w:val="28"/>
          <w:szCs w:val="28"/>
        </w:rPr>
        <w:t>Техническая спецификация закупаемых услуг</w:t>
      </w:r>
    </w:p>
    <w:p w:rsidR="00D0428F" w:rsidRDefault="00D0428F">
      <w:pPr>
        <w:pStyle w:val="Standard"/>
        <w:jc w:val="center"/>
        <w:rPr>
          <w:b/>
          <w:sz w:val="22"/>
          <w:szCs w:val="22"/>
        </w:rPr>
      </w:pPr>
    </w:p>
    <w:tbl>
      <w:tblPr>
        <w:tblW w:w="14768" w:type="dxa"/>
        <w:tblInd w:w="-142" w:type="dxa"/>
        <w:tblLayout w:type="fixed"/>
        <w:tblCellMar>
          <w:left w:w="10" w:type="dxa"/>
          <w:right w:w="10" w:type="dxa"/>
        </w:tblCellMar>
        <w:tblLook w:val="0000" w:firstRow="0" w:lastRow="0" w:firstColumn="0" w:lastColumn="0" w:noHBand="0" w:noVBand="0"/>
      </w:tblPr>
      <w:tblGrid>
        <w:gridCol w:w="4922"/>
        <w:gridCol w:w="9846"/>
      </w:tblGrid>
      <w:tr w:rsidR="00D0428F">
        <w:trPr>
          <w:trHeight w:val="834"/>
        </w:trPr>
        <w:tc>
          <w:tcPr>
            <w:tcW w:w="4922"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center"/>
          </w:tcPr>
          <w:p w:rsidR="00D0428F" w:rsidRDefault="0064070E">
            <w:pPr>
              <w:pStyle w:val="Standard"/>
              <w:jc w:val="center"/>
            </w:pPr>
            <w:r>
              <w:rPr>
                <w:b/>
                <w:sz w:val="28"/>
                <w:szCs w:val="28"/>
              </w:rPr>
              <w:t>№</w:t>
            </w:r>
          </w:p>
          <w:p w:rsidR="00D0428F" w:rsidRDefault="0064070E">
            <w:pPr>
              <w:pStyle w:val="Standard"/>
              <w:jc w:val="center"/>
            </w:pPr>
            <w:r>
              <w:rPr>
                <w:b/>
                <w:sz w:val="28"/>
                <w:szCs w:val="28"/>
              </w:rPr>
              <w:t>п/п</w:t>
            </w:r>
          </w:p>
        </w:tc>
        <w:tc>
          <w:tcPr>
            <w:tcW w:w="9846" w:type="dxa"/>
            <w:tcBorders>
              <w:top w:val="single" w:sz="6" w:space="0" w:color="00000A"/>
              <w:left w:val="single" w:sz="4" w:space="0" w:color="00000A"/>
              <w:bottom w:val="single" w:sz="6" w:space="0" w:color="00000A"/>
              <w:right w:val="single" w:sz="6" w:space="0" w:color="00000A"/>
            </w:tcBorders>
            <w:tcMar>
              <w:top w:w="0" w:type="dxa"/>
              <w:left w:w="108" w:type="dxa"/>
              <w:bottom w:w="0" w:type="dxa"/>
              <w:right w:w="108" w:type="dxa"/>
            </w:tcMar>
            <w:vAlign w:val="center"/>
          </w:tcPr>
          <w:p w:rsidR="00D0428F" w:rsidRDefault="0064070E">
            <w:pPr>
              <w:pStyle w:val="Standard"/>
              <w:jc w:val="center"/>
            </w:pPr>
            <w:r>
              <w:rPr>
                <w:b/>
                <w:sz w:val="28"/>
                <w:szCs w:val="28"/>
              </w:rPr>
              <w:t>Наименование услуг</w:t>
            </w:r>
          </w:p>
        </w:tc>
      </w:tr>
      <w:tr w:rsidR="00D0428F">
        <w:trPr>
          <w:trHeight w:val="288"/>
        </w:trPr>
        <w:tc>
          <w:tcPr>
            <w:tcW w:w="4922"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tcPr>
          <w:p w:rsidR="00D0428F" w:rsidRDefault="0064070E">
            <w:pPr>
              <w:pStyle w:val="Standard"/>
              <w:jc w:val="center"/>
            </w:pPr>
            <w:r>
              <w:rPr>
                <w:sz w:val="28"/>
                <w:szCs w:val="28"/>
              </w:rPr>
              <w:t>1</w:t>
            </w:r>
          </w:p>
        </w:tc>
        <w:tc>
          <w:tcPr>
            <w:tcW w:w="9846" w:type="dxa"/>
            <w:tcBorders>
              <w:top w:val="single" w:sz="6" w:space="0" w:color="00000A"/>
              <w:left w:val="single" w:sz="4" w:space="0" w:color="00000A"/>
              <w:bottom w:val="single" w:sz="6" w:space="0" w:color="00000A"/>
              <w:right w:val="single" w:sz="6" w:space="0" w:color="00000A"/>
            </w:tcBorders>
            <w:tcMar>
              <w:top w:w="0" w:type="dxa"/>
              <w:left w:w="108" w:type="dxa"/>
              <w:bottom w:w="0" w:type="dxa"/>
              <w:right w:w="108" w:type="dxa"/>
            </w:tcMar>
          </w:tcPr>
          <w:p w:rsidR="00D0428F" w:rsidRDefault="0064070E">
            <w:pPr>
              <w:pStyle w:val="Standard"/>
              <w:jc w:val="center"/>
            </w:pPr>
            <w:r>
              <w:rPr>
                <w:sz w:val="28"/>
                <w:szCs w:val="28"/>
                <w:lang w:val="kk-KZ"/>
              </w:rPr>
              <w:t>2</w:t>
            </w:r>
          </w:p>
        </w:tc>
      </w:tr>
      <w:tr w:rsidR="00D0428F">
        <w:trPr>
          <w:trHeight w:val="1817"/>
        </w:trPr>
        <w:tc>
          <w:tcPr>
            <w:tcW w:w="4922" w:type="dxa"/>
            <w:tcBorders>
              <w:top w:val="single" w:sz="6" w:space="0" w:color="00000A"/>
              <w:left w:val="single" w:sz="6" w:space="0" w:color="00000A"/>
              <w:bottom w:val="single" w:sz="4" w:space="0" w:color="00000A"/>
              <w:right w:val="single" w:sz="4" w:space="0" w:color="00000A"/>
            </w:tcBorders>
            <w:tcMar>
              <w:top w:w="0" w:type="dxa"/>
              <w:left w:w="108" w:type="dxa"/>
              <w:bottom w:w="0" w:type="dxa"/>
              <w:right w:w="108" w:type="dxa"/>
            </w:tcMar>
          </w:tcPr>
          <w:p w:rsidR="00D0428F" w:rsidRDefault="00D0428F">
            <w:pPr>
              <w:pStyle w:val="Standard"/>
              <w:rPr>
                <w:sz w:val="28"/>
                <w:szCs w:val="28"/>
              </w:rPr>
            </w:pPr>
          </w:p>
        </w:tc>
        <w:tc>
          <w:tcPr>
            <w:tcW w:w="9846" w:type="dxa"/>
            <w:tcBorders>
              <w:top w:val="single" w:sz="6" w:space="0" w:color="00000A"/>
              <w:left w:val="single" w:sz="4" w:space="0" w:color="00000A"/>
              <w:bottom w:val="single" w:sz="4" w:space="0" w:color="00000A"/>
              <w:right w:val="single" w:sz="4" w:space="0" w:color="00000A"/>
            </w:tcBorders>
            <w:tcMar>
              <w:top w:w="0" w:type="dxa"/>
              <w:left w:w="108" w:type="dxa"/>
              <w:bottom w:w="0" w:type="dxa"/>
              <w:right w:w="108" w:type="dxa"/>
            </w:tcMar>
          </w:tcPr>
          <w:p w:rsidR="00D0428F" w:rsidRDefault="0064070E">
            <w:pPr>
              <w:pStyle w:val="Standard"/>
            </w:pPr>
            <w:r>
              <w:rPr>
                <w:sz w:val="28"/>
                <w:szCs w:val="28"/>
              </w:rPr>
              <w:t xml:space="preserve">Услуги по </w:t>
            </w:r>
            <w:r>
              <w:rPr>
                <w:sz w:val="28"/>
                <w:szCs w:val="28"/>
                <w:lang w:val="kk-KZ"/>
              </w:rPr>
              <w:t xml:space="preserve">техническому </w:t>
            </w:r>
            <w:r>
              <w:rPr>
                <w:sz w:val="28"/>
                <w:szCs w:val="28"/>
              </w:rPr>
              <w:t>обслуживанию видеонаблюдения</w:t>
            </w:r>
          </w:p>
          <w:p w:rsidR="00D0428F" w:rsidRDefault="00D0428F">
            <w:pPr>
              <w:pStyle w:val="Standard"/>
              <w:rPr>
                <w:sz w:val="28"/>
                <w:szCs w:val="28"/>
              </w:rPr>
            </w:pPr>
          </w:p>
        </w:tc>
      </w:tr>
    </w:tbl>
    <w:p w:rsidR="00D0428F" w:rsidRDefault="0064070E">
      <w:pPr>
        <w:pStyle w:val="Standard"/>
        <w:jc w:val="both"/>
      </w:pPr>
      <w:r>
        <w:rPr>
          <w:b/>
          <w:bCs/>
          <w:sz w:val="28"/>
          <w:szCs w:val="28"/>
        </w:rPr>
        <w:t>П</w:t>
      </w:r>
      <w:r>
        <w:rPr>
          <w:b/>
          <w:bCs/>
          <w:sz w:val="28"/>
          <w:szCs w:val="28"/>
          <w:lang w:val="kk-KZ"/>
        </w:rPr>
        <w:t xml:space="preserve">римечание: </w:t>
      </w:r>
      <w:r>
        <w:rPr>
          <w:bCs/>
          <w:sz w:val="28"/>
          <w:szCs w:val="28"/>
          <w:lang w:val="kk-KZ"/>
        </w:rPr>
        <w:t>С</w:t>
      </w:r>
      <w:r>
        <w:rPr>
          <w:bCs/>
          <w:sz w:val="28"/>
          <w:szCs w:val="28"/>
        </w:rPr>
        <w:t xml:space="preserve">умма выделенная на осуществление закупки рассчитана на период с </w:t>
      </w:r>
      <w:r w:rsidR="00E21D50">
        <w:rPr>
          <w:bCs/>
          <w:sz w:val="28"/>
          <w:szCs w:val="28"/>
          <w:lang w:val="kk-KZ"/>
        </w:rPr>
        <w:t xml:space="preserve">подписания договор </w:t>
      </w:r>
      <w:r w:rsidR="00792132">
        <w:rPr>
          <w:bCs/>
          <w:sz w:val="28"/>
          <w:szCs w:val="28"/>
        </w:rPr>
        <w:t xml:space="preserve"> по 31 декабря 2025</w:t>
      </w:r>
      <w:r w:rsidR="00BD6C12">
        <w:rPr>
          <w:bCs/>
          <w:sz w:val="28"/>
          <w:szCs w:val="28"/>
        </w:rPr>
        <w:t xml:space="preserve"> </w:t>
      </w:r>
      <w:r>
        <w:rPr>
          <w:bCs/>
          <w:sz w:val="28"/>
          <w:szCs w:val="28"/>
        </w:rPr>
        <w:t xml:space="preserve"> года. В случае заключения дог</w:t>
      </w:r>
      <w:r w:rsidR="00E21D50">
        <w:rPr>
          <w:bCs/>
          <w:sz w:val="28"/>
          <w:szCs w:val="28"/>
        </w:rPr>
        <w:t xml:space="preserve">овора позднее </w:t>
      </w:r>
      <w:r>
        <w:rPr>
          <w:bCs/>
          <w:sz w:val="28"/>
          <w:szCs w:val="28"/>
        </w:rPr>
        <w:t xml:space="preserve">, общая сумма заключенного договора </w:t>
      </w:r>
      <w:r>
        <w:rPr>
          <w:bCs/>
          <w:sz w:val="28"/>
          <w:szCs w:val="28"/>
          <w:lang w:val="kk-KZ"/>
        </w:rPr>
        <w:t xml:space="preserve">согласно пп </w:t>
      </w:r>
      <w:r>
        <w:rPr>
          <w:bCs/>
          <w:sz w:val="28"/>
          <w:szCs w:val="28"/>
        </w:rPr>
        <w:t>2) п. 1 статьи 45</w:t>
      </w:r>
      <w:r>
        <w:rPr>
          <w:bCs/>
          <w:sz w:val="28"/>
          <w:szCs w:val="28"/>
          <w:lang w:val="kk-KZ"/>
        </w:rPr>
        <w:t xml:space="preserve"> ЗРК о ГЗ,</w:t>
      </w:r>
      <w:r>
        <w:rPr>
          <w:bCs/>
          <w:sz w:val="28"/>
          <w:szCs w:val="28"/>
        </w:rPr>
        <w:t xml:space="preserve"> подлежит уменьшению пропорционально сокращению периода действия договора</w:t>
      </w:r>
    </w:p>
    <w:p w:rsidR="00D0428F" w:rsidRDefault="00D0428F">
      <w:pPr>
        <w:pStyle w:val="Standard"/>
        <w:rPr>
          <w:sz w:val="22"/>
          <w:szCs w:val="22"/>
        </w:rPr>
      </w:pPr>
    </w:p>
    <w:p w:rsidR="00D0428F" w:rsidRDefault="00D0428F">
      <w:pPr>
        <w:pStyle w:val="Standard"/>
        <w:rPr>
          <w:sz w:val="22"/>
          <w:szCs w:val="22"/>
        </w:rPr>
      </w:pPr>
    </w:p>
    <w:p w:rsidR="00D0428F" w:rsidRDefault="00D0428F">
      <w:pPr>
        <w:pStyle w:val="Standard"/>
        <w:rPr>
          <w:sz w:val="22"/>
          <w:szCs w:val="22"/>
        </w:rPr>
      </w:pPr>
    </w:p>
    <w:p w:rsidR="00D0428F" w:rsidRDefault="00D0428F">
      <w:pPr>
        <w:pStyle w:val="Standard"/>
        <w:rPr>
          <w:sz w:val="22"/>
          <w:szCs w:val="22"/>
        </w:rPr>
      </w:pPr>
    </w:p>
    <w:p w:rsidR="00D0428F" w:rsidRDefault="00D0428F">
      <w:pPr>
        <w:pStyle w:val="Standard"/>
        <w:rPr>
          <w:sz w:val="22"/>
          <w:szCs w:val="22"/>
        </w:rPr>
      </w:pPr>
    </w:p>
    <w:p w:rsidR="00D0428F" w:rsidRDefault="00D0428F">
      <w:pPr>
        <w:pStyle w:val="Standard"/>
        <w:rPr>
          <w:sz w:val="22"/>
          <w:szCs w:val="22"/>
        </w:rPr>
      </w:pPr>
    </w:p>
    <w:p w:rsidR="00D0428F" w:rsidRDefault="00D0428F">
      <w:pPr>
        <w:pStyle w:val="Standard"/>
        <w:rPr>
          <w:sz w:val="22"/>
          <w:szCs w:val="22"/>
        </w:rPr>
      </w:pPr>
    </w:p>
    <w:p w:rsidR="00D0428F" w:rsidRDefault="00D0428F">
      <w:pPr>
        <w:pStyle w:val="Standard"/>
        <w:rPr>
          <w:sz w:val="22"/>
          <w:szCs w:val="22"/>
        </w:rPr>
      </w:pPr>
    </w:p>
    <w:p w:rsidR="00D0428F" w:rsidRDefault="00D0428F">
      <w:pPr>
        <w:pStyle w:val="Standard"/>
        <w:rPr>
          <w:sz w:val="22"/>
          <w:szCs w:val="22"/>
        </w:rPr>
      </w:pPr>
    </w:p>
    <w:p w:rsidR="00D0428F" w:rsidRDefault="00E21D50" w:rsidP="00E21D50">
      <w:pPr>
        <w:pStyle w:val="Standard"/>
        <w:tabs>
          <w:tab w:val="left" w:pos="10785"/>
        </w:tabs>
        <w:rPr>
          <w:sz w:val="22"/>
          <w:szCs w:val="22"/>
        </w:rPr>
      </w:pPr>
      <w:r>
        <w:rPr>
          <w:sz w:val="22"/>
          <w:szCs w:val="22"/>
        </w:rPr>
        <w:tab/>
      </w:r>
    </w:p>
    <w:p w:rsidR="00E21D50" w:rsidRDefault="00E21D50" w:rsidP="00E21D50">
      <w:pPr>
        <w:pStyle w:val="Standard"/>
        <w:tabs>
          <w:tab w:val="left" w:pos="10785"/>
        </w:tabs>
        <w:rPr>
          <w:sz w:val="22"/>
          <w:szCs w:val="22"/>
        </w:rPr>
      </w:pPr>
    </w:p>
    <w:p w:rsidR="00E21D50" w:rsidRDefault="00E21D50" w:rsidP="00E21D50">
      <w:pPr>
        <w:pStyle w:val="Standard"/>
        <w:tabs>
          <w:tab w:val="left" w:pos="10785"/>
        </w:tabs>
        <w:rPr>
          <w:sz w:val="22"/>
          <w:szCs w:val="22"/>
        </w:rPr>
      </w:pPr>
    </w:p>
    <w:p w:rsidR="00E21D50" w:rsidRDefault="00E21D50" w:rsidP="00E21D50">
      <w:pPr>
        <w:pStyle w:val="Standard"/>
        <w:tabs>
          <w:tab w:val="left" w:pos="10785"/>
        </w:tabs>
        <w:rPr>
          <w:sz w:val="22"/>
          <w:szCs w:val="22"/>
        </w:rPr>
      </w:pPr>
    </w:p>
    <w:p w:rsidR="00E21D50" w:rsidRDefault="00E21D50" w:rsidP="00E21D50">
      <w:pPr>
        <w:pStyle w:val="Standard"/>
        <w:tabs>
          <w:tab w:val="left" w:pos="10785"/>
        </w:tabs>
        <w:rPr>
          <w:sz w:val="22"/>
          <w:szCs w:val="22"/>
        </w:rPr>
      </w:pPr>
    </w:p>
    <w:p w:rsidR="00E21D50" w:rsidRDefault="00E21D50" w:rsidP="00E21D50">
      <w:pPr>
        <w:pStyle w:val="Standard"/>
        <w:tabs>
          <w:tab w:val="left" w:pos="10785"/>
        </w:tabs>
        <w:rPr>
          <w:sz w:val="22"/>
          <w:szCs w:val="22"/>
        </w:rPr>
      </w:pPr>
    </w:p>
    <w:p w:rsidR="00D0428F" w:rsidRDefault="00D0428F">
      <w:pPr>
        <w:pStyle w:val="Standard"/>
        <w:rPr>
          <w:sz w:val="22"/>
          <w:szCs w:val="22"/>
        </w:rPr>
      </w:pPr>
    </w:p>
    <w:p w:rsidR="00D0428F" w:rsidRDefault="00D0428F">
      <w:pPr>
        <w:pStyle w:val="Standard"/>
        <w:rPr>
          <w:sz w:val="22"/>
          <w:szCs w:val="22"/>
        </w:rPr>
      </w:pPr>
    </w:p>
    <w:p w:rsidR="00D0428F" w:rsidRDefault="0064070E">
      <w:pPr>
        <w:pStyle w:val="Standard"/>
        <w:jc w:val="right"/>
      </w:pPr>
      <w:r>
        <w:rPr>
          <w:i/>
          <w:iCs/>
          <w:sz w:val="28"/>
          <w:szCs w:val="28"/>
          <w:lang w:val="kk-KZ"/>
        </w:rPr>
        <w:lastRenderedPageBreak/>
        <w:t>202</w:t>
      </w:r>
      <w:r w:rsidR="00792132">
        <w:rPr>
          <w:i/>
          <w:iCs/>
          <w:sz w:val="28"/>
          <w:szCs w:val="28"/>
          <w:lang w:val="kk-KZ"/>
        </w:rPr>
        <w:t>5</w:t>
      </w:r>
      <w:r w:rsidR="00E21D50" w:rsidRPr="00BD6C12">
        <w:rPr>
          <w:i/>
          <w:iCs/>
          <w:sz w:val="28"/>
          <w:szCs w:val="28"/>
        </w:rPr>
        <w:t xml:space="preserve"> </w:t>
      </w:r>
      <w:r>
        <w:rPr>
          <w:i/>
          <w:iCs/>
          <w:sz w:val="28"/>
          <w:szCs w:val="28"/>
          <w:lang w:val="kk-KZ"/>
        </w:rPr>
        <w:t>ж.  «___» _______________№ ___</w:t>
      </w:r>
    </w:p>
    <w:p w:rsidR="00D0428F" w:rsidRDefault="0064070E">
      <w:pPr>
        <w:pStyle w:val="Standard"/>
        <w:jc w:val="right"/>
      </w:pPr>
      <w:r>
        <w:rPr>
          <w:i/>
          <w:iCs/>
          <w:sz w:val="28"/>
          <w:szCs w:val="28"/>
          <w:lang w:val="kk-KZ"/>
        </w:rPr>
        <w:t>Шартқа 2 қосымша</w:t>
      </w:r>
    </w:p>
    <w:p w:rsidR="00D0428F" w:rsidRDefault="00D0428F">
      <w:pPr>
        <w:pStyle w:val="Standard"/>
        <w:jc w:val="both"/>
        <w:rPr>
          <w:i/>
          <w:iCs/>
          <w:sz w:val="28"/>
          <w:szCs w:val="28"/>
          <w:lang w:val="kk-KZ"/>
        </w:rPr>
      </w:pPr>
    </w:p>
    <w:p w:rsidR="00D0428F" w:rsidRDefault="0064070E">
      <w:pPr>
        <w:pStyle w:val="Standard"/>
        <w:ind w:firstLine="400"/>
        <w:jc w:val="center"/>
      </w:pPr>
      <w:r>
        <w:rPr>
          <w:b/>
          <w:bCs/>
          <w:sz w:val="28"/>
          <w:szCs w:val="28"/>
          <w:lang w:val="kk-KZ"/>
        </w:rPr>
        <w:t>Сатып алынатын қызметтердің техникалық ерекшеліктері</w:t>
      </w:r>
    </w:p>
    <w:p w:rsidR="00D0428F" w:rsidRDefault="00D0428F">
      <w:pPr>
        <w:pStyle w:val="Standard"/>
        <w:ind w:firstLine="400"/>
        <w:jc w:val="center"/>
        <w:rPr>
          <w:b/>
          <w:bCs/>
          <w:sz w:val="28"/>
          <w:szCs w:val="28"/>
          <w:lang w:val="kk-KZ"/>
        </w:rPr>
      </w:pPr>
    </w:p>
    <w:tbl>
      <w:tblPr>
        <w:tblW w:w="14601" w:type="dxa"/>
        <w:tblInd w:w="-116" w:type="dxa"/>
        <w:tblLayout w:type="fixed"/>
        <w:tblCellMar>
          <w:left w:w="10" w:type="dxa"/>
          <w:right w:w="10" w:type="dxa"/>
        </w:tblCellMar>
        <w:tblLook w:val="0000" w:firstRow="0" w:lastRow="0" w:firstColumn="0" w:lastColumn="0" w:noHBand="0" w:noVBand="0"/>
      </w:tblPr>
      <w:tblGrid>
        <w:gridCol w:w="849"/>
        <w:gridCol w:w="2409"/>
        <w:gridCol w:w="11343"/>
      </w:tblGrid>
      <w:tr w:rsidR="00D0428F">
        <w:trPr>
          <w:trHeight w:val="867"/>
        </w:trPr>
        <w:tc>
          <w:tcPr>
            <w:tcW w:w="849"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center"/>
          </w:tcPr>
          <w:p w:rsidR="00D0428F" w:rsidRDefault="0064070E">
            <w:pPr>
              <w:pStyle w:val="Standard"/>
              <w:jc w:val="center"/>
            </w:pPr>
            <w:r>
              <w:rPr>
                <w:b/>
                <w:bCs/>
                <w:sz w:val="28"/>
                <w:szCs w:val="28"/>
                <w:lang w:val="kk-KZ"/>
              </w:rPr>
              <w:t>№ р/с</w:t>
            </w:r>
          </w:p>
        </w:tc>
        <w:tc>
          <w:tcPr>
            <w:tcW w:w="2409"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center"/>
          </w:tcPr>
          <w:p w:rsidR="00D0428F" w:rsidRDefault="0064070E">
            <w:pPr>
              <w:pStyle w:val="Standard"/>
              <w:jc w:val="center"/>
            </w:pPr>
            <w:r>
              <w:rPr>
                <w:b/>
                <w:bCs/>
                <w:sz w:val="28"/>
                <w:szCs w:val="28"/>
                <w:lang w:val="kk-KZ"/>
              </w:rPr>
              <w:t>Қызметтердің атауы</w:t>
            </w:r>
          </w:p>
        </w:tc>
        <w:tc>
          <w:tcPr>
            <w:tcW w:w="11343"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center"/>
          </w:tcPr>
          <w:p w:rsidR="00D0428F" w:rsidRDefault="0064070E">
            <w:pPr>
              <w:pStyle w:val="Standard"/>
              <w:jc w:val="center"/>
            </w:pPr>
            <w:r>
              <w:rPr>
                <w:b/>
                <w:bCs/>
                <w:sz w:val="28"/>
                <w:szCs w:val="28"/>
                <w:lang w:val="kk-KZ"/>
              </w:rPr>
              <w:t>Қызметтердің техникалық ерекшеліктері, сипаттамасы</w:t>
            </w:r>
          </w:p>
        </w:tc>
      </w:tr>
      <w:tr w:rsidR="00D0428F">
        <w:tc>
          <w:tcPr>
            <w:tcW w:w="849"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tcPr>
          <w:p w:rsidR="00D0428F" w:rsidRDefault="0064070E">
            <w:pPr>
              <w:pStyle w:val="Standard"/>
              <w:jc w:val="center"/>
            </w:pPr>
            <w:r>
              <w:rPr>
                <w:sz w:val="28"/>
                <w:szCs w:val="28"/>
                <w:lang w:val="kk-KZ"/>
              </w:rPr>
              <w:t>1</w:t>
            </w:r>
          </w:p>
        </w:tc>
        <w:tc>
          <w:tcPr>
            <w:tcW w:w="2409"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tcPr>
          <w:p w:rsidR="00D0428F" w:rsidRDefault="0064070E">
            <w:pPr>
              <w:pStyle w:val="Standard"/>
              <w:jc w:val="center"/>
            </w:pPr>
            <w:r>
              <w:rPr>
                <w:sz w:val="28"/>
                <w:szCs w:val="28"/>
                <w:lang w:val="kk-KZ"/>
              </w:rPr>
              <w:t>2</w:t>
            </w:r>
          </w:p>
        </w:tc>
        <w:tc>
          <w:tcPr>
            <w:tcW w:w="11343"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tcPr>
          <w:p w:rsidR="00D0428F" w:rsidRDefault="0064070E">
            <w:pPr>
              <w:pStyle w:val="Standard"/>
              <w:jc w:val="center"/>
            </w:pPr>
            <w:r>
              <w:rPr>
                <w:sz w:val="28"/>
                <w:szCs w:val="28"/>
                <w:lang w:val="kk-KZ"/>
              </w:rPr>
              <w:t>3</w:t>
            </w:r>
          </w:p>
        </w:tc>
      </w:tr>
      <w:tr w:rsidR="00D0428F" w:rsidRPr="00792132">
        <w:tc>
          <w:tcPr>
            <w:tcW w:w="849"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tcPr>
          <w:p w:rsidR="00D0428F" w:rsidRDefault="0064070E">
            <w:pPr>
              <w:pStyle w:val="Standard"/>
            </w:pPr>
            <w:r>
              <w:t>1</w:t>
            </w:r>
          </w:p>
        </w:tc>
        <w:tc>
          <w:tcPr>
            <w:tcW w:w="2409"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tcPr>
          <w:p w:rsidR="00D0428F" w:rsidRDefault="0064070E">
            <w:pPr>
              <w:pStyle w:val="Standard"/>
            </w:pPr>
            <w:r>
              <w:t>Бейнебақылау жүйесіне техникалық қызмет көрсету</w:t>
            </w:r>
          </w:p>
          <w:p w:rsidR="00D0428F" w:rsidRDefault="00D0428F">
            <w:pPr>
              <w:pStyle w:val="Standard"/>
            </w:pPr>
          </w:p>
        </w:tc>
        <w:tc>
          <w:tcPr>
            <w:tcW w:w="11343"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tcPr>
          <w:p w:rsidR="00D0428F" w:rsidRDefault="0064070E">
            <w:pPr>
              <w:pStyle w:val="Standard"/>
            </w:pPr>
            <w:r>
              <w:t>Бейнебақылау</w:t>
            </w:r>
            <w:r>
              <w:rPr>
                <w:lang w:val="kk-KZ"/>
              </w:rPr>
              <w:t xml:space="preserve"> </w:t>
            </w:r>
            <w:r>
              <w:t>жүйесіне техникалық қызмет көрсету – шартпен жасалған б</w:t>
            </w:r>
            <w:r>
              <w:rPr>
                <w:lang w:val="kk-KZ"/>
              </w:rPr>
              <w:t>арлық</w:t>
            </w:r>
            <w:r>
              <w:t xml:space="preserve"> кезең ішінде бейнекамераларды, бейне сигналдарды өңдеу құрылғыларын және бейнебақылау жүйесінің басқа да құрамдастарын жұмыс жағдайында ұстау бойынша ағымдағы жөндеу жұмыстарының кешені.</w:t>
            </w:r>
          </w:p>
          <w:p w:rsidR="00D0428F" w:rsidRDefault="0064070E">
            <w:pPr>
              <w:pStyle w:val="Standard"/>
            </w:pPr>
            <w:r>
              <w:t>Тұтынушыға техникалық көмек, консультациялар және персоналды оқыту, сондай-ақ қайта реттеу ұсынылады.</w:t>
            </w:r>
          </w:p>
          <w:p w:rsidR="00D0428F" w:rsidRDefault="0064070E">
            <w:pPr>
              <w:pStyle w:val="Standard"/>
            </w:pPr>
            <w:r>
              <w:t>Бейнебақылау техникалық қызмет көрсету келесі ағымдағы жөндеу түрлерін қамтиды:</w:t>
            </w:r>
          </w:p>
          <w:p w:rsidR="00D0428F" w:rsidRDefault="0064070E">
            <w:pPr>
              <w:pStyle w:val="Standard"/>
            </w:pPr>
            <w:r>
              <w:t>Ай сайынғы бейнебақылау қызметі:</w:t>
            </w:r>
          </w:p>
          <w:p w:rsidR="00D0428F" w:rsidRDefault="0064070E">
            <w:pPr>
              <w:pStyle w:val="Standard"/>
            </w:pPr>
            <w:r>
              <w:t>Механикалық зақымдануды, коррозияны, бекіткіштердің беріктігін және т.б. жүйе құрамдас бөліктері: бейнекамералар, коммутация орталықтары, бейнесервер (бейнетіркегіш), мониторлар және қуат көздері. Бейне серверді (бейне жазу құрылғысын) өнімділікке тексеру.</w:t>
            </w:r>
          </w:p>
          <w:p w:rsidR="00D0428F" w:rsidRDefault="0064070E">
            <w:pPr>
              <w:pStyle w:val="Standard"/>
            </w:pPr>
            <w:r>
              <w:t>Жабдық:</w:t>
            </w:r>
          </w:p>
          <w:p w:rsidR="00D0428F" w:rsidRDefault="0064070E">
            <w:pPr>
              <w:pStyle w:val="Standard"/>
            </w:pPr>
            <w:r>
              <w:t>1) Бейнекамера (сипаттамасы) с</w:t>
            </w:r>
            <w:r>
              <w:rPr>
                <w:lang w:val="kk-KZ"/>
              </w:rPr>
              <w:t>аны</w:t>
            </w:r>
            <w:r>
              <w:t xml:space="preserve"> – </w:t>
            </w:r>
            <w:r w:rsidR="00BD6C12">
              <w:rPr>
                <w:lang w:val="kk-KZ"/>
              </w:rPr>
              <w:t>48</w:t>
            </w:r>
          </w:p>
          <w:p w:rsidR="00D0428F" w:rsidRDefault="00D0428F">
            <w:pPr>
              <w:pStyle w:val="Standard"/>
            </w:pPr>
          </w:p>
          <w:p w:rsidR="00D0428F" w:rsidRDefault="00D0428F">
            <w:pPr>
              <w:pStyle w:val="Standard"/>
            </w:pPr>
          </w:p>
          <w:p w:rsidR="00D0428F" w:rsidRDefault="00D0428F">
            <w:pPr>
              <w:pStyle w:val="Standard"/>
              <w:rPr>
                <w:lang w:val="kk-KZ"/>
              </w:rPr>
            </w:pPr>
          </w:p>
          <w:p w:rsidR="00D0428F" w:rsidRPr="00E21D50" w:rsidRDefault="0064070E">
            <w:pPr>
              <w:pStyle w:val="Standard"/>
              <w:rPr>
                <w:lang w:val="kk-KZ"/>
              </w:rPr>
            </w:pPr>
            <w:r w:rsidRPr="00E21D50">
              <w:rPr>
                <w:lang w:val="kk-KZ"/>
              </w:rPr>
              <w:t>Тоқсан сайынғы бейнебақылау қызметі:</w:t>
            </w:r>
          </w:p>
          <w:p w:rsidR="00D0428F" w:rsidRPr="00E21D50" w:rsidRDefault="0064070E">
            <w:pPr>
              <w:pStyle w:val="Standard"/>
              <w:rPr>
                <w:lang w:val="kk-KZ"/>
              </w:rPr>
            </w:pPr>
            <w:r w:rsidRPr="00E21D50">
              <w:rPr>
                <w:lang w:val="kk-KZ"/>
              </w:rPr>
              <w:t>тозған немесе жарамсыз болып қалған элементтерді тазалау, дәнекерлеу, ауыстыру немесе қалпына келтіру;</w:t>
            </w:r>
          </w:p>
          <w:p w:rsidR="00D0428F" w:rsidRDefault="0064070E">
            <w:pPr>
              <w:pStyle w:val="Standard"/>
            </w:pPr>
            <w:r>
              <w:t>линзалар мен бейнекамераларды шаң мен кірден тазалау;</w:t>
            </w:r>
          </w:p>
          <w:p w:rsidR="00D0428F" w:rsidRDefault="0064070E">
            <w:pPr>
              <w:pStyle w:val="Standard"/>
            </w:pPr>
            <w:r>
              <w:t>көше жамылғылары мен күмбездерді шаң мен кірден тазалау;</w:t>
            </w:r>
          </w:p>
          <w:p w:rsidR="00D0428F" w:rsidRDefault="0064070E">
            <w:pPr>
              <w:pStyle w:val="Standard"/>
            </w:pPr>
            <w:r>
              <w:t>бейнебақылау жүйесінің барлық компоненттерінің қоректену кернеуін өлшеу.</w:t>
            </w:r>
          </w:p>
          <w:p w:rsidR="00D0428F" w:rsidRDefault="0064070E">
            <w:pPr>
              <w:pStyle w:val="Standard"/>
            </w:pPr>
            <w:r>
              <w:t>Жартыжылдық бейнебақылау қызметі:</w:t>
            </w:r>
          </w:p>
          <w:p w:rsidR="00D0428F" w:rsidRDefault="0064070E">
            <w:pPr>
              <w:pStyle w:val="Standard"/>
            </w:pPr>
            <w:r>
              <w:t>жүйе уақытын орнату және өзгерту (қыс-жаз);</w:t>
            </w:r>
          </w:p>
          <w:p w:rsidR="00D0428F" w:rsidRDefault="0064070E">
            <w:pPr>
              <w:pStyle w:val="Standard"/>
            </w:pPr>
            <w:r>
              <w:t>бейнесервердің (бейнетіркегіштің) жүйелік блогының және пайдаланушының жұмыс станцияларының ішкі бетін тазалау;</w:t>
            </w:r>
          </w:p>
          <w:p w:rsidR="00D0428F" w:rsidRDefault="0064070E">
            <w:pPr>
              <w:pStyle w:val="Standard"/>
            </w:pPr>
            <w:r>
              <w:t>резервтік қуат көзіндегі бейнебақылау жүйесінің жұмысын тексеру.</w:t>
            </w:r>
          </w:p>
          <w:p w:rsidR="00D0428F" w:rsidRDefault="0064070E">
            <w:pPr>
              <w:pStyle w:val="Standard"/>
            </w:pPr>
            <w:r>
              <w:lastRenderedPageBreak/>
              <w:t>Бейнебақылауды жүргізуге бағытталған іс-шаралар Тапсырыс беруші мен Мердігер арасындағы екіжақты шарттық қатынастар шеңберінде жүзеге асырылады және бейнебақылау жүйесіне бөгде адамдардың рұқсатсыз кіруіне жол бермеуге, жабдықтың зақымдануын болдырмауға және құпия ақпаратты жарияламауға қызмет етеді. Шартқа қол қойылғаннан кейін Тараптар Объектіге тексеру жүргізеді, оның мақсаты бейнебақылау жүйесінің құрамын, жүйенің техникалық жай-күйін және жүргізіліп жатқан монтаждау жұмыстарының сәйкестігін анықтау болып табылады. Комиссия жұмысының нәтижелері жүйенің құрамын көрсететін, жабдықтың сәйкестігін (сәйкессіздігін) көрсететін және жүйені жаңарту бойынша ұсыныстар беретін бастапқы байқау актісі түрінде ресімделуі мүмкін.</w:t>
            </w:r>
          </w:p>
          <w:p w:rsidR="00D0428F" w:rsidRPr="00E21D50" w:rsidRDefault="0064070E">
            <w:pPr>
              <w:pStyle w:val="Standard"/>
              <w:rPr>
                <w:lang w:val="kk-KZ"/>
              </w:rPr>
            </w:pPr>
            <w:r>
              <w:rPr>
                <w:lang w:val="kk-KZ"/>
              </w:rPr>
              <w:t xml:space="preserve">          Бейне бақылауға техникалық қызмет көрсету тапсырыс берушімен келісілген мерзімде және жұмыс кестесіне сәйкес, нормативтік құжаттардың талаптарына қатаң сәйкестікте жүзеге асырылады.</w:t>
            </w:r>
          </w:p>
        </w:tc>
      </w:tr>
    </w:tbl>
    <w:p w:rsidR="00D0428F" w:rsidRPr="00E21D50" w:rsidRDefault="0064070E">
      <w:pPr>
        <w:pStyle w:val="Standard"/>
        <w:jc w:val="both"/>
        <w:rPr>
          <w:lang w:val="kk-KZ"/>
        </w:rPr>
      </w:pPr>
      <w:r>
        <w:rPr>
          <w:b/>
          <w:sz w:val="28"/>
          <w:szCs w:val="28"/>
          <w:lang w:val="kk-KZ"/>
        </w:rPr>
        <w:lastRenderedPageBreak/>
        <w:t xml:space="preserve">Ескертпе: </w:t>
      </w:r>
      <w:r>
        <w:rPr>
          <w:sz w:val="28"/>
          <w:szCs w:val="28"/>
          <w:lang w:val="kk-KZ"/>
        </w:rPr>
        <w:t>Сатып алуға бөлінг</w:t>
      </w:r>
      <w:r w:rsidR="00E21D50">
        <w:rPr>
          <w:sz w:val="28"/>
          <w:szCs w:val="28"/>
          <w:lang w:val="kk-KZ"/>
        </w:rPr>
        <w:t>ен сома келісім шарт күшіне енген күннен</w:t>
      </w:r>
      <w:r>
        <w:rPr>
          <w:sz w:val="28"/>
          <w:szCs w:val="28"/>
          <w:lang w:val="kk-KZ"/>
        </w:rPr>
        <w:t xml:space="preserve"> бастап 202</w:t>
      </w:r>
      <w:r w:rsidR="00792132">
        <w:rPr>
          <w:sz w:val="28"/>
          <w:szCs w:val="28"/>
          <w:lang w:val="kk-KZ"/>
        </w:rPr>
        <w:t>5</w:t>
      </w:r>
      <w:r>
        <w:rPr>
          <w:sz w:val="28"/>
          <w:szCs w:val="28"/>
          <w:lang w:val="kk-KZ"/>
        </w:rPr>
        <w:t xml:space="preserve"> жылғы 31 желтоқсанға дейінгі кезеңге есептелген. Егер шарт кешіктірілсе, Мемлекеттік сатып алу туралы ҚР 45-бабының 1-тармағы 2) тармақшасына сәйкес жасалған шарттың жалпы сомасы шарттың қолданылу мерзiмiнiң қысқаруына барабар қысқартылуға жатады.</w:t>
      </w:r>
    </w:p>
    <w:p w:rsidR="00D0428F" w:rsidRPr="00E21D50" w:rsidRDefault="00D0428F">
      <w:pPr>
        <w:pStyle w:val="Standard"/>
        <w:rPr>
          <w:lang w:val="kk-KZ"/>
        </w:rPr>
      </w:pPr>
    </w:p>
    <w:sectPr w:rsidR="00D0428F" w:rsidRPr="00E21D50">
      <w:pgSz w:w="16838" w:h="11906" w:orient="landscape"/>
      <w:pgMar w:top="850"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F4A" w:rsidRDefault="00F61F4A">
      <w:r>
        <w:separator/>
      </w:r>
    </w:p>
  </w:endnote>
  <w:endnote w:type="continuationSeparator" w:id="0">
    <w:p w:rsidR="00F61F4A" w:rsidRDefault="00F6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F4A" w:rsidRDefault="00F61F4A">
      <w:r>
        <w:rPr>
          <w:color w:val="000000"/>
        </w:rPr>
        <w:separator/>
      </w:r>
    </w:p>
  </w:footnote>
  <w:footnote w:type="continuationSeparator" w:id="0">
    <w:p w:rsidR="00F61F4A" w:rsidRDefault="00F61F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C5D67"/>
    <w:multiLevelType w:val="multilevel"/>
    <w:tmpl w:val="1556E974"/>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D7D71D0"/>
    <w:multiLevelType w:val="multilevel"/>
    <w:tmpl w:val="19D41E38"/>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 w15:restartNumberingAfterBreak="0">
    <w:nsid w:val="365759CC"/>
    <w:multiLevelType w:val="multilevel"/>
    <w:tmpl w:val="78106A9A"/>
    <w:styleLink w:val="WWNum4"/>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 w15:restartNumberingAfterBreak="0">
    <w:nsid w:val="59F14872"/>
    <w:multiLevelType w:val="multilevel"/>
    <w:tmpl w:val="082CDCF6"/>
    <w:styleLink w:val="WWNum3"/>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 w15:restartNumberingAfterBreak="0">
    <w:nsid w:val="6F4A431B"/>
    <w:multiLevelType w:val="multilevel"/>
    <w:tmpl w:val="66F4355A"/>
    <w:styleLink w:val="WWNum1"/>
    <w:lvl w:ilvl="0">
      <w:start w:val="1"/>
      <w:numFmt w:val="decimal"/>
      <w:lvlText w:val="%1."/>
      <w:lvlJc w:val="left"/>
      <w:pPr>
        <w:ind w:left="502" w:hanging="360"/>
      </w:pPr>
      <w:rPr>
        <w:sz w:val="20"/>
        <w:szCs w:val="20"/>
      </w:r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28F"/>
    <w:rsid w:val="0064070E"/>
    <w:rsid w:val="00792132"/>
    <w:rsid w:val="00953665"/>
    <w:rsid w:val="00BD6C12"/>
    <w:rsid w:val="00D0428F"/>
    <w:rsid w:val="00E21D50"/>
    <w:rsid w:val="00F61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67BF"/>
  <w15:docId w15:val="{6A9EA3F2-F680-4887-83FB-87F39929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kern w:val="3"/>
        <w:sz w:val="24"/>
        <w:szCs w:val="24"/>
        <w:lang w:val="ru-RU"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rPr>
      <w:rFonts w:ascii="Times New Roman" w:eastAsia="Times New Roman" w:hAnsi="Times New Roman" w:cs="Times New Roman"/>
      <w:lang w:eastAsia="ru-RU"/>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a5">
    <w:name w:val="No Spacing"/>
    <w:pPr>
      <w:widowControl/>
    </w:pPr>
    <w:rPr>
      <w:rFonts w:ascii="Times New Roman" w:eastAsia="Times New Roman" w:hAnsi="Times New Roman" w:cs="Times New Roman"/>
      <w:lang w:eastAsia="ru-RU"/>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Bodytext2">
    <w:name w:val="Body text (2)"/>
    <w:basedOn w:val="Standard"/>
    <w:pPr>
      <w:widowControl w:val="0"/>
      <w:shd w:val="clear" w:color="auto" w:fill="FFFFFF"/>
      <w:spacing w:before="1140" w:line="274" w:lineRule="exact"/>
      <w:jc w:val="both"/>
    </w:pPr>
    <w:rPr>
      <w:lang w:eastAsia="en-US"/>
    </w:rPr>
  </w:style>
  <w:style w:type="paragraph" w:styleId="a6">
    <w:name w:val="Normal (Web)"/>
    <w:basedOn w:val="Standard"/>
    <w:pPr>
      <w:spacing w:before="100" w:after="100"/>
    </w:pPr>
  </w:style>
  <w:style w:type="paragraph" w:styleId="a7">
    <w:name w:val="List Paragraph"/>
    <w:basedOn w:val="Standard"/>
    <w:pPr>
      <w:ind w:left="720"/>
    </w:pPr>
  </w:style>
  <w:style w:type="character" w:customStyle="1" w:styleId="StrongEmphasis">
    <w:name w:val="Strong Emphasis"/>
    <w:rPr>
      <w:b/>
      <w:bCs/>
    </w:rPr>
  </w:style>
  <w:style w:type="character" w:customStyle="1" w:styleId="HTML0">
    <w:name w:val="Стандартный HTML Знак"/>
    <w:basedOn w:val="a0"/>
    <w:rPr>
      <w:rFonts w:ascii="Courier New" w:eastAsia="Times New Roman" w:hAnsi="Courier New" w:cs="Courier New"/>
      <w:sz w:val="20"/>
      <w:szCs w:val="20"/>
      <w:lang w:eastAsia="ru-RU"/>
    </w:rPr>
  </w:style>
  <w:style w:type="character" w:customStyle="1" w:styleId="Bodytext20">
    <w:name w:val="Body text (2)_"/>
    <w:basedOn w:val="a0"/>
    <w:rPr>
      <w:rFonts w:ascii="Times New Roman" w:eastAsia="Times New Roman" w:hAnsi="Times New Roman" w:cs="Times New Roman"/>
    </w:rPr>
  </w:style>
  <w:style w:type="character" w:customStyle="1" w:styleId="Bodytext2Bold">
    <w:name w:val="Body text (2) + Bold"/>
    <w:basedOn w:val="Bodytext20"/>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subscript"/>
      <w:lang w:val="ru-RU" w:eastAsia="ru-RU" w:bidi="ru-RU"/>
    </w:rPr>
  </w:style>
  <w:style w:type="character" w:customStyle="1" w:styleId="y2iqfc">
    <w:name w:val="y2iqfc"/>
    <w:basedOn w:val="a0"/>
  </w:style>
  <w:style w:type="character" w:customStyle="1" w:styleId="ListLabel1">
    <w:name w:val="ListLabel 1"/>
    <w:rPr>
      <w:sz w:val="20"/>
      <w:szCs w:val="20"/>
    </w:rPr>
  </w:style>
  <w:style w:type="character" w:customStyle="1" w:styleId="ListLabel2">
    <w:name w:val="ListLabel 2"/>
    <w:rPr>
      <w:sz w:val="20"/>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503</Words>
  <Characters>2871</Characters>
  <Application>Microsoft Office Word</Application>
  <DocSecurity>0</DocSecurity>
  <Lines>23</Lines>
  <Paragraphs>6</Paragraphs>
  <ScaleCrop>false</ScaleCrop>
  <Company>SPecialiST RePack</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Microsoft Office</dc:creator>
  <cp:lastModifiedBy>user</cp:lastModifiedBy>
  <cp:revision>3</cp:revision>
  <cp:lastPrinted>2022-02-22T10:48:00Z</cp:lastPrinted>
  <dcterms:created xsi:type="dcterms:W3CDTF">2020-01-24T08:46:00Z</dcterms:created>
  <dcterms:modified xsi:type="dcterms:W3CDTF">2025-02-11T17:29:00Z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