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0D" w:rsidRPr="002D2B64" w:rsidRDefault="004C27C5" w:rsidP="0023600D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2D2B64">
        <w:rPr>
          <w:rFonts w:asciiTheme="majorHAnsi" w:hAnsiTheme="majorHAnsi" w:cs="Times New Roman"/>
        </w:rPr>
        <w:t xml:space="preserve">Техническая спецификация </w:t>
      </w:r>
    </w:p>
    <w:p w:rsidR="00764AD9" w:rsidRPr="002D2B64" w:rsidRDefault="004C27C5" w:rsidP="004C27C5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2D2B64">
        <w:rPr>
          <w:rFonts w:asciiTheme="majorHAnsi" w:hAnsiTheme="majorHAnsi" w:cs="Times New Roman"/>
        </w:rPr>
        <w:t>закупаемых работ, не связанных со строительством</w:t>
      </w:r>
    </w:p>
    <w:p w:rsidR="00B71EB6" w:rsidRPr="002D2B64" w:rsidRDefault="00B71EB6" w:rsidP="0023600D">
      <w:pPr>
        <w:spacing w:after="0" w:line="240" w:lineRule="auto"/>
        <w:jc w:val="center"/>
        <w:rPr>
          <w:rFonts w:asciiTheme="majorHAnsi" w:hAnsiTheme="majorHAns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71EB6" w:rsidRPr="002D2B64" w:rsidTr="00B71EB6">
        <w:tc>
          <w:tcPr>
            <w:tcW w:w="2943" w:type="dxa"/>
          </w:tcPr>
          <w:p w:rsidR="00B71EB6" w:rsidRPr="002D2B64" w:rsidRDefault="00B71EB6" w:rsidP="00B71EB6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Заказчик:</w:t>
            </w:r>
          </w:p>
        </w:tc>
        <w:tc>
          <w:tcPr>
            <w:tcW w:w="6628" w:type="dxa"/>
          </w:tcPr>
          <w:p w:rsidR="00B71EB6" w:rsidRPr="002D2B64" w:rsidRDefault="00B71EB6" w:rsidP="002A6FC5">
            <w:pPr>
              <w:jc w:val="both"/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ГУ "Аппарат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акима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С</w:t>
            </w:r>
            <w:r w:rsidR="002A6FC5" w:rsidRPr="002D2B64">
              <w:rPr>
                <w:rFonts w:asciiTheme="majorHAnsi" w:hAnsiTheme="majorHAnsi" w:cs="Times New Roman"/>
              </w:rPr>
              <w:t>оловьевского</w:t>
            </w:r>
            <w:proofErr w:type="spellEnd"/>
            <w:r w:rsidR="002A6FC5" w:rsidRPr="002D2B64">
              <w:rPr>
                <w:rFonts w:asciiTheme="majorHAnsi" w:hAnsiTheme="majorHAnsi" w:cs="Times New Roman"/>
              </w:rPr>
              <w:t xml:space="preserve"> </w:t>
            </w:r>
            <w:r w:rsidRPr="002D2B64">
              <w:rPr>
                <w:rFonts w:asciiTheme="majorHAnsi" w:hAnsiTheme="majorHAnsi" w:cs="Times New Roman"/>
              </w:rPr>
              <w:t>сельского округа района Алтай ВКО"</w:t>
            </w:r>
          </w:p>
        </w:tc>
      </w:tr>
      <w:tr w:rsidR="00B71EB6" w:rsidRPr="002D2B64" w:rsidTr="00B71EB6">
        <w:tc>
          <w:tcPr>
            <w:tcW w:w="2943" w:type="dxa"/>
          </w:tcPr>
          <w:p w:rsidR="00B71EB6" w:rsidRPr="002D2B64" w:rsidRDefault="00B71EB6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Наименование закупки:</w:t>
            </w:r>
          </w:p>
        </w:tc>
        <w:tc>
          <w:tcPr>
            <w:tcW w:w="6628" w:type="dxa"/>
          </w:tcPr>
          <w:p w:rsidR="00B71EB6" w:rsidRPr="002D2B64" w:rsidRDefault="00BA379E" w:rsidP="00BA379E">
            <w:pPr>
              <w:jc w:val="both"/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Освещение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Соловьевский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сельский округ </w:t>
            </w:r>
          </w:p>
        </w:tc>
      </w:tr>
      <w:tr w:rsidR="00B71EB6" w:rsidRPr="002D2B64" w:rsidTr="00B71EB6">
        <w:tc>
          <w:tcPr>
            <w:tcW w:w="2943" w:type="dxa"/>
          </w:tcPr>
          <w:p w:rsidR="00B71EB6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Наименование работы:</w:t>
            </w:r>
          </w:p>
        </w:tc>
        <w:tc>
          <w:tcPr>
            <w:tcW w:w="6628" w:type="dxa"/>
          </w:tcPr>
          <w:p w:rsidR="00B71EB6" w:rsidRPr="002D2B64" w:rsidRDefault="00ED7716" w:rsidP="00ED7716">
            <w:pPr>
              <w:jc w:val="both"/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Работы по ремонту/реконструкции электрического, электрораспределительного/регулирующего оборудования и аналогичной аппаратуры</w:t>
            </w:r>
          </w:p>
        </w:tc>
      </w:tr>
      <w:tr w:rsidR="00B71EB6" w:rsidRPr="002D2B64" w:rsidTr="00B71EB6">
        <w:tc>
          <w:tcPr>
            <w:tcW w:w="2943" w:type="dxa"/>
          </w:tcPr>
          <w:p w:rsidR="00B71EB6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Единица измерения:</w:t>
            </w:r>
          </w:p>
        </w:tc>
        <w:tc>
          <w:tcPr>
            <w:tcW w:w="6628" w:type="dxa"/>
          </w:tcPr>
          <w:p w:rsidR="00B71EB6" w:rsidRPr="002D2B64" w:rsidRDefault="00311225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Работа</w:t>
            </w:r>
          </w:p>
        </w:tc>
      </w:tr>
      <w:tr w:rsidR="00311225" w:rsidRPr="002D2B64" w:rsidTr="00B71EB6">
        <w:tc>
          <w:tcPr>
            <w:tcW w:w="2943" w:type="dxa"/>
          </w:tcPr>
          <w:p w:rsidR="00311225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Количество(объем):</w:t>
            </w:r>
          </w:p>
        </w:tc>
        <w:tc>
          <w:tcPr>
            <w:tcW w:w="6628" w:type="dxa"/>
          </w:tcPr>
          <w:p w:rsidR="00311225" w:rsidRPr="002D2B64" w:rsidRDefault="00311225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1</w:t>
            </w:r>
          </w:p>
        </w:tc>
      </w:tr>
      <w:tr w:rsidR="00B71EB6" w:rsidRPr="002D2B64" w:rsidTr="00B71EB6">
        <w:tc>
          <w:tcPr>
            <w:tcW w:w="2943" w:type="dxa"/>
          </w:tcPr>
          <w:p w:rsidR="00B71EB6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Срок выполнения работы:</w:t>
            </w:r>
          </w:p>
        </w:tc>
        <w:tc>
          <w:tcPr>
            <w:tcW w:w="6628" w:type="dxa"/>
          </w:tcPr>
          <w:p w:rsidR="00B71EB6" w:rsidRPr="002D2B64" w:rsidRDefault="00311225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30 календарных дней</w:t>
            </w:r>
            <w:r w:rsidR="004C27C5" w:rsidRPr="002D2B64">
              <w:rPr>
                <w:rFonts w:asciiTheme="majorHAnsi" w:hAnsiTheme="majorHAnsi" w:cs="Times New Roman"/>
              </w:rPr>
              <w:t xml:space="preserve">, после подачи заявки Заказчиком  </w:t>
            </w:r>
            <w:r w:rsidRPr="002D2B64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311225" w:rsidRPr="002D2B64" w:rsidTr="00B71EB6">
        <w:tc>
          <w:tcPr>
            <w:tcW w:w="2943" w:type="dxa"/>
          </w:tcPr>
          <w:p w:rsidR="00311225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Место выполнения работ: </w:t>
            </w:r>
          </w:p>
        </w:tc>
        <w:tc>
          <w:tcPr>
            <w:tcW w:w="6628" w:type="dxa"/>
          </w:tcPr>
          <w:p w:rsidR="00311225" w:rsidRPr="002D2B64" w:rsidRDefault="00ED7716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ВКО, район Алтай, село Соловьево, ул. Рыжова, 14 </w:t>
            </w:r>
          </w:p>
        </w:tc>
      </w:tr>
      <w:tr w:rsidR="00311225" w:rsidRPr="002D2B64" w:rsidTr="00B71EB6">
        <w:tc>
          <w:tcPr>
            <w:tcW w:w="2943" w:type="dxa"/>
          </w:tcPr>
          <w:p w:rsidR="00311225" w:rsidRPr="002D2B64" w:rsidRDefault="00311225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Размер авансового платежа:  </w:t>
            </w:r>
          </w:p>
        </w:tc>
        <w:tc>
          <w:tcPr>
            <w:tcW w:w="6628" w:type="dxa"/>
          </w:tcPr>
          <w:p w:rsidR="00311225" w:rsidRPr="002D2B64" w:rsidRDefault="00311225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0</w:t>
            </w:r>
          </w:p>
        </w:tc>
      </w:tr>
      <w:tr w:rsidR="0084304C" w:rsidRPr="002D2B64" w:rsidTr="00B71EB6">
        <w:tc>
          <w:tcPr>
            <w:tcW w:w="2943" w:type="dxa"/>
          </w:tcPr>
          <w:p w:rsidR="0084304C" w:rsidRPr="002D2B64" w:rsidRDefault="0084304C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Гарантийный срок </w:t>
            </w:r>
          </w:p>
          <w:p w:rsidR="0084304C" w:rsidRPr="002D2B64" w:rsidRDefault="0084304C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(в месяцах) </w:t>
            </w:r>
          </w:p>
        </w:tc>
        <w:tc>
          <w:tcPr>
            <w:tcW w:w="6628" w:type="dxa"/>
          </w:tcPr>
          <w:p w:rsidR="0084304C" w:rsidRPr="002D2B64" w:rsidRDefault="0084304C" w:rsidP="004C27C5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12 </w:t>
            </w:r>
          </w:p>
        </w:tc>
      </w:tr>
      <w:tr w:rsidR="0084304C" w:rsidRPr="002D2B64" w:rsidTr="00B71EB6">
        <w:tc>
          <w:tcPr>
            <w:tcW w:w="2943" w:type="dxa"/>
          </w:tcPr>
          <w:p w:rsidR="0084304C" w:rsidRPr="002D2B64" w:rsidRDefault="0084304C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6628" w:type="dxa"/>
          </w:tcPr>
          <w:p w:rsidR="0084304C" w:rsidRPr="002D2B64" w:rsidRDefault="0084304C" w:rsidP="004F4EBB">
            <w:pPr>
              <w:jc w:val="both"/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Работы по </w:t>
            </w:r>
            <w:r w:rsidR="0080218E" w:rsidRPr="002D2B64">
              <w:rPr>
                <w:rFonts w:asciiTheme="majorHAnsi" w:hAnsiTheme="majorHAnsi" w:cs="Times New Roman"/>
              </w:rPr>
              <w:t>устройству уличного освещения</w:t>
            </w:r>
            <w:r w:rsidRPr="002D2B64">
              <w:rPr>
                <w:rFonts w:asciiTheme="majorHAnsi" w:hAnsiTheme="majorHAnsi" w:cs="Times New Roman"/>
              </w:rPr>
              <w:t xml:space="preserve"> включает в себя </w:t>
            </w:r>
            <w:r w:rsidR="0080218E" w:rsidRPr="002D2B64">
              <w:rPr>
                <w:rFonts w:asciiTheme="majorHAnsi" w:hAnsiTheme="majorHAnsi" w:cs="Times New Roman"/>
              </w:rPr>
              <w:t xml:space="preserve">выполнение </w:t>
            </w:r>
            <w:r w:rsidR="008C11E9" w:rsidRPr="002D2B64">
              <w:rPr>
                <w:rFonts w:asciiTheme="majorHAnsi" w:hAnsiTheme="majorHAnsi" w:cs="Times New Roman"/>
              </w:rPr>
              <w:t xml:space="preserve">необходимого </w:t>
            </w:r>
            <w:r w:rsidR="00A65829" w:rsidRPr="002D2B64">
              <w:rPr>
                <w:rFonts w:asciiTheme="majorHAnsi" w:hAnsiTheme="majorHAnsi" w:cs="Times New Roman"/>
              </w:rPr>
              <w:t>перечня</w:t>
            </w:r>
            <w:r w:rsidR="00F43B69" w:rsidRPr="002D2B64">
              <w:rPr>
                <w:rFonts w:asciiTheme="majorHAnsi" w:hAnsiTheme="majorHAnsi" w:cs="Times New Roman"/>
              </w:rPr>
              <w:t xml:space="preserve"> </w:t>
            </w:r>
            <w:r w:rsidR="0080218E" w:rsidRPr="002D2B64">
              <w:rPr>
                <w:rFonts w:asciiTheme="majorHAnsi" w:hAnsiTheme="majorHAnsi" w:cs="Times New Roman"/>
              </w:rPr>
              <w:t xml:space="preserve">работ </w:t>
            </w:r>
            <w:r w:rsidR="00C0450E" w:rsidRPr="002D2B64">
              <w:rPr>
                <w:rFonts w:asciiTheme="majorHAnsi" w:hAnsiTheme="majorHAnsi" w:cs="Times New Roman"/>
              </w:rPr>
              <w:t>в</w:t>
            </w:r>
            <w:r w:rsidR="0080218E" w:rsidRPr="002D2B64">
              <w:rPr>
                <w:rFonts w:asciiTheme="majorHAnsi" w:hAnsiTheme="majorHAnsi" w:cs="Times New Roman"/>
              </w:rPr>
              <w:t xml:space="preserve"> </w:t>
            </w:r>
            <w:r w:rsidR="00965251" w:rsidRPr="002D2B64">
              <w:rPr>
                <w:rFonts w:asciiTheme="majorHAnsi" w:hAnsiTheme="majorHAnsi" w:cs="Times New Roman"/>
              </w:rPr>
              <w:t>соответствии со сметной документацией</w:t>
            </w:r>
            <w:r w:rsidR="00624E5D">
              <w:rPr>
                <w:rFonts w:asciiTheme="majorHAnsi" w:hAnsiTheme="majorHAnsi" w:cs="Times New Roman"/>
              </w:rPr>
              <w:t xml:space="preserve"> и дефектным актом</w:t>
            </w:r>
            <w:r w:rsidR="00965251" w:rsidRPr="002D2B64">
              <w:rPr>
                <w:rFonts w:asciiTheme="majorHAnsi" w:hAnsiTheme="majorHAnsi" w:cs="Times New Roman"/>
              </w:rPr>
              <w:t xml:space="preserve">. </w:t>
            </w:r>
            <w:r w:rsidR="00F43B69" w:rsidRPr="002D2B64">
              <w:rPr>
                <w:rFonts w:asciiTheme="majorHAnsi" w:hAnsiTheme="majorHAnsi" w:cs="Times New Roman"/>
              </w:rPr>
              <w:t xml:space="preserve">По окончанию выполнения работ подрядчик обязан вывезти </w:t>
            </w:r>
            <w:r w:rsidR="008C11E9" w:rsidRPr="002D2B64">
              <w:rPr>
                <w:rFonts w:asciiTheme="majorHAnsi" w:hAnsiTheme="majorHAnsi" w:cs="Times New Roman"/>
              </w:rPr>
              <w:t xml:space="preserve">на полигон либо утилизировать </w:t>
            </w:r>
            <w:r w:rsidR="00F43B69" w:rsidRPr="002D2B64">
              <w:rPr>
                <w:rFonts w:asciiTheme="majorHAnsi" w:hAnsiTheme="majorHAnsi" w:cs="Times New Roman"/>
              </w:rPr>
              <w:t xml:space="preserve">образовавшейся мусор, сдать объект Заказчику, предоставить </w:t>
            </w:r>
            <w:r w:rsidR="008C11E9" w:rsidRPr="002D2B64">
              <w:rPr>
                <w:rFonts w:asciiTheme="majorHAnsi" w:hAnsiTheme="majorHAnsi" w:cs="Times New Roman"/>
              </w:rPr>
              <w:t xml:space="preserve">акт выполненных работ со сметным расчетом Подрядчика (Исполнителя), </w:t>
            </w:r>
            <w:r w:rsidR="00A65829" w:rsidRPr="002D2B64">
              <w:rPr>
                <w:rFonts w:asciiTheme="majorHAnsi" w:hAnsiTheme="majorHAnsi" w:cs="Times New Roman"/>
              </w:rPr>
              <w:t xml:space="preserve">сертификаты и паспорта на товары используемые в ходе выполнения работ. </w:t>
            </w:r>
            <w:r w:rsidR="004F4EBB" w:rsidRPr="002D2B64">
              <w:rPr>
                <w:rFonts w:asciiTheme="majorHAnsi" w:hAnsiTheme="majorHAnsi"/>
                <w:color w:val="000000"/>
                <w:shd w:val="clear" w:color="auto" w:fill="FFFFFF"/>
              </w:rPr>
              <w:t>Заказчик вправе отказаться от приемки результатов работы в случае обнаружения недостатков, которые исключают возможность использования результатов работы для указанной в договоре цели</w:t>
            </w:r>
            <w:r w:rsidR="004F4EBB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. </w:t>
            </w:r>
            <w:r w:rsidR="00376B41" w:rsidRPr="002D2B6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Сдача результатов работ подрядчиком и приемка их заказчиком оформляются ак</w:t>
            </w:r>
            <w:bookmarkStart w:id="0" w:name="_GoBack"/>
            <w:bookmarkEnd w:id="0"/>
            <w:r w:rsidR="00376B41" w:rsidRPr="002D2B6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том, подписанным обеими сторонами</w:t>
            </w:r>
            <w:r w:rsidR="00376B41" w:rsidRPr="00187CC2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.</w:t>
            </w:r>
            <w:r w:rsidR="002D2B64" w:rsidRPr="00187CC2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</w:t>
            </w:r>
            <w:r w:rsidR="004F4EBB" w:rsidRPr="00187CC2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</w:t>
            </w:r>
            <w:r w:rsidR="00BD67A7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Заказчик в своей заявке указывает места монтажа системы уличного освещения. </w:t>
            </w:r>
            <w:r w:rsidR="00187CC2" w:rsidRPr="00187CC2">
              <w:rPr>
                <w:rFonts w:asciiTheme="majorHAnsi" w:hAnsiTheme="majorHAnsi"/>
                <w:color w:val="000000"/>
                <w:shd w:val="clear" w:color="auto" w:fill="FFFFFF"/>
              </w:rPr>
              <w:t>Подрядчик</w:t>
            </w:r>
            <w:r w:rsidR="00187CC2">
              <w:rPr>
                <w:rFonts w:asciiTheme="majorHAnsi" w:hAnsiTheme="majorHAnsi" w:cs="Times New Roman"/>
              </w:rPr>
              <w:t xml:space="preserve"> (исполнитель) после заключения договора в течении 30 календарных дней обязан </w:t>
            </w:r>
            <w:r w:rsidR="00FA4D31">
              <w:rPr>
                <w:rFonts w:asciiTheme="majorHAnsi" w:hAnsiTheme="majorHAnsi" w:cs="Times New Roman"/>
              </w:rPr>
              <w:t xml:space="preserve">получить технические условия в АО "ОЭСК", а также самостоятельно </w:t>
            </w:r>
            <w:r w:rsidR="00187CC2">
              <w:rPr>
                <w:rFonts w:asciiTheme="majorHAnsi" w:hAnsiTheme="majorHAnsi" w:cs="Times New Roman"/>
              </w:rPr>
              <w:t xml:space="preserve">разработать проектно-сметную </w:t>
            </w:r>
            <w:proofErr w:type="gramStart"/>
            <w:r w:rsidR="00187CC2">
              <w:rPr>
                <w:rFonts w:asciiTheme="majorHAnsi" w:hAnsiTheme="majorHAnsi" w:cs="Times New Roman"/>
              </w:rPr>
              <w:t xml:space="preserve">документацию </w:t>
            </w:r>
            <w:r w:rsidR="00BD67A7">
              <w:rPr>
                <w:rFonts w:asciiTheme="majorHAnsi" w:hAnsiTheme="majorHAnsi" w:cs="Times New Roman"/>
              </w:rPr>
              <w:t xml:space="preserve"> на</w:t>
            </w:r>
            <w:proofErr w:type="gramEnd"/>
            <w:r w:rsidR="00BD67A7">
              <w:rPr>
                <w:rFonts w:asciiTheme="majorHAnsi" w:hAnsiTheme="majorHAnsi" w:cs="Times New Roman"/>
              </w:rPr>
              <w:t xml:space="preserve"> устройство уличного освещения </w:t>
            </w:r>
            <w:r w:rsidR="00FA4D31">
              <w:rPr>
                <w:rFonts w:asciiTheme="majorHAnsi" w:hAnsiTheme="majorHAnsi" w:cs="Times New Roman"/>
              </w:rPr>
              <w:t xml:space="preserve">с прохождением вневедомственной экспертизы.  </w:t>
            </w:r>
            <w:r w:rsidR="00187CC2" w:rsidRPr="00187CC2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2770D2" w:rsidRPr="002D2B64" w:rsidTr="00B71EB6">
        <w:tc>
          <w:tcPr>
            <w:tcW w:w="2943" w:type="dxa"/>
          </w:tcPr>
          <w:p w:rsidR="002770D2" w:rsidRPr="002D2B64" w:rsidRDefault="002770D2" w:rsidP="00965251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628" w:type="dxa"/>
          </w:tcPr>
          <w:p w:rsidR="002770D2" w:rsidRPr="002D2B64" w:rsidRDefault="00EB2CB5" w:rsidP="00C0450E">
            <w:pPr>
              <w:jc w:val="both"/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Предоставляемые работы должны соответствовать техническим требованиям, стандартам СНиП и не иметь дефектов, снижающих их качества. Работы должны быть выполнены в полном объеме в соответствии с технической специфи</w:t>
            </w:r>
            <w:r w:rsidR="00493414" w:rsidRPr="002D2B64">
              <w:rPr>
                <w:rFonts w:asciiTheme="majorHAnsi" w:hAnsiTheme="majorHAnsi" w:cs="Times New Roman"/>
              </w:rPr>
              <w:t xml:space="preserve">кацией и сметной документацией. </w:t>
            </w:r>
            <w:r w:rsidRPr="002D2B64">
              <w:rPr>
                <w:rFonts w:asciiTheme="majorHAnsi" w:hAnsiTheme="majorHAnsi" w:cs="Times New Roman"/>
              </w:rPr>
              <w:t>Предоставление Заказчику осуществления выездных проверок на месте проведения работ и участвовать в проведении работ в качестве наблюдателя с правом получения любой информации для подтверждения выполняемой работы и подписания актов выполненных работ. До начала ведения работ подрядчик обязан предоставить и согласова</w:t>
            </w:r>
            <w:r w:rsidR="00722CBA" w:rsidRPr="002D2B64">
              <w:rPr>
                <w:rFonts w:asciiTheme="majorHAnsi" w:hAnsiTheme="majorHAnsi" w:cs="Times New Roman"/>
              </w:rPr>
              <w:t>ть график производства</w:t>
            </w:r>
            <w:r w:rsidRPr="002D2B64">
              <w:rPr>
                <w:rFonts w:asciiTheme="majorHAnsi" w:hAnsiTheme="majorHAnsi" w:cs="Times New Roman"/>
              </w:rPr>
              <w:t xml:space="preserve"> работ</w:t>
            </w:r>
            <w:r w:rsidR="00722CBA" w:rsidRPr="002D2B64">
              <w:rPr>
                <w:rFonts w:asciiTheme="majorHAnsi" w:hAnsiTheme="majorHAnsi" w:cs="Times New Roman"/>
              </w:rPr>
              <w:t xml:space="preserve">, обеспечить безопасное передвижение </w:t>
            </w:r>
            <w:r w:rsidR="00493414" w:rsidRPr="002D2B64">
              <w:rPr>
                <w:rFonts w:asciiTheme="majorHAnsi" w:hAnsiTheme="majorHAnsi" w:cs="Times New Roman"/>
              </w:rPr>
              <w:t>транспортных средств и пешехода</w:t>
            </w:r>
            <w:r w:rsidR="00722CBA" w:rsidRPr="002D2B64">
              <w:rPr>
                <w:rFonts w:asciiTheme="majorHAnsi" w:hAnsiTheme="majorHAnsi" w:cs="Times New Roman"/>
              </w:rPr>
              <w:t xml:space="preserve"> с </w:t>
            </w:r>
            <w:r w:rsidR="00ED36EE" w:rsidRPr="002D2B64">
              <w:rPr>
                <w:rFonts w:asciiTheme="majorHAnsi" w:hAnsiTheme="majorHAnsi" w:cs="Times New Roman"/>
              </w:rPr>
              <w:t xml:space="preserve">обеспечением необходимых мер.  </w:t>
            </w:r>
          </w:p>
        </w:tc>
      </w:tr>
    </w:tbl>
    <w:p w:rsidR="00B71EB6" w:rsidRPr="002D2B64" w:rsidRDefault="00B71EB6" w:rsidP="00ED36EE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9C56DF" w:rsidRPr="002D2B64" w:rsidRDefault="009C56DF" w:rsidP="006C05BA">
      <w:pPr>
        <w:spacing w:after="0" w:line="240" w:lineRule="auto"/>
        <w:jc w:val="center"/>
        <w:rPr>
          <w:rFonts w:asciiTheme="majorHAnsi" w:hAnsiTheme="majorHAnsi" w:cs="Times New Roman"/>
        </w:rPr>
      </w:pPr>
      <w:proofErr w:type="spellStart"/>
      <w:r w:rsidRPr="002D2B64">
        <w:rPr>
          <w:rFonts w:asciiTheme="majorHAnsi" w:hAnsiTheme="majorHAnsi" w:cs="Times New Roman"/>
        </w:rPr>
        <w:t>Техникалық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сипаттама</w:t>
      </w:r>
      <w:proofErr w:type="spellEnd"/>
    </w:p>
    <w:p w:rsidR="006C05BA" w:rsidRPr="002D2B64" w:rsidRDefault="006C05BA" w:rsidP="006C05BA">
      <w:pPr>
        <w:spacing w:after="0" w:line="240" w:lineRule="auto"/>
        <w:jc w:val="center"/>
        <w:rPr>
          <w:rFonts w:asciiTheme="majorHAnsi" w:hAnsiTheme="majorHAnsi" w:cs="Times New Roman"/>
        </w:rPr>
      </w:pPr>
      <w:proofErr w:type="spellStart"/>
      <w:r w:rsidRPr="002D2B64">
        <w:rPr>
          <w:rFonts w:asciiTheme="majorHAnsi" w:hAnsiTheme="majorHAnsi" w:cs="Times New Roman"/>
        </w:rPr>
        <w:t>құрылыспен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байланысты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емес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сатып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алынатын</w:t>
      </w:r>
      <w:proofErr w:type="spellEnd"/>
      <w:r w:rsidRPr="002D2B64">
        <w:rPr>
          <w:rFonts w:asciiTheme="majorHAnsi" w:hAnsiTheme="majorHAnsi" w:cs="Times New Roman"/>
        </w:rPr>
        <w:t xml:space="preserve"> </w:t>
      </w:r>
      <w:proofErr w:type="spellStart"/>
      <w:r w:rsidRPr="002D2B64">
        <w:rPr>
          <w:rFonts w:asciiTheme="majorHAnsi" w:hAnsiTheme="majorHAnsi" w:cs="Times New Roman"/>
        </w:rPr>
        <w:t>жұмыстардың</w:t>
      </w:r>
      <w:proofErr w:type="spellEnd"/>
    </w:p>
    <w:p w:rsidR="006C05BA" w:rsidRPr="002D2B64" w:rsidRDefault="006C05BA" w:rsidP="006C05BA">
      <w:pPr>
        <w:spacing w:after="0" w:line="240" w:lineRule="auto"/>
        <w:jc w:val="center"/>
        <w:rPr>
          <w:rFonts w:asciiTheme="majorHAnsi" w:hAnsiTheme="majorHAns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беруші</w:t>
            </w:r>
            <w:proofErr w:type="spellEnd"/>
            <w:r w:rsidRPr="002D2B6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28" w:type="dxa"/>
          </w:tcPr>
          <w:p w:rsidR="006C05BA" w:rsidRPr="002D2B64" w:rsidRDefault="00CB3AFD" w:rsidP="0061122B">
            <w:pPr>
              <w:jc w:val="both"/>
              <w:rPr>
                <w:rFonts w:asciiTheme="majorHAnsi" w:hAnsiTheme="majorHAnsi" w:cs="Times New Roman"/>
              </w:rPr>
            </w:pPr>
            <w:r w:rsidRPr="00CB3AFD">
              <w:rPr>
                <w:rFonts w:asciiTheme="majorHAnsi" w:hAnsiTheme="majorHAnsi" w:cs="Times New Roman"/>
              </w:rPr>
              <w:t xml:space="preserve">ШҚО Алтай </w:t>
            </w:r>
            <w:proofErr w:type="spellStart"/>
            <w:r w:rsidRPr="00CB3AFD">
              <w:rPr>
                <w:rFonts w:asciiTheme="majorHAnsi" w:hAnsiTheme="majorHAnsi" w:cs="Times New Roman"/>
              </w:rPr>
              <w:t>ауданы</w:t>
            </w:r>
            <w:proofErr w:type="spellEnd"/>
            <w:r w:rsidRPr="00CB3AFD">
              <w:rPr>
                <w:rFonts w:asciiTheme="majorHAnsi" w:hAnsiTheme="majorHAnsi" w:cs="Times New Roman"/>
              </w:rPr>
              <w:t xml:space="preserve"> Соловьев </w:t>
            </w:r>
            <w:proofErr w:type="spellStart"/>
            <w:r w:rsidRPr="00CB3AFD">
              <w:rPr>
                <w:rFonts w:asciiTheme="majorHAnsi" w:hAnsiTheme="majorHAnsi" w:cs="Times New Roman"/>
              </w:rPr>
              <w:t>ауылдық</w:t>
            </w:r>
            <w:proofErr w:type="spellEnd"/>
            <w:r w:rsidRPr="00CB3AF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CB3AFD">
              <w:rPr>
                <w:rFonts w:asciiTheme="majorHAnsi" w:hAnsiTheme="majorHAnsi" w:cs="Times New Roman"/>
              </w:rPr>
              <w:t>округі</w:t>
            </w:r>
            <w:proofErr w:type="spellEnd"/>
            <w:r w:rsidRPr="00CB3AFD">
              <w:rPr>
                <w:rFonts w:asciiTheme="majorHAnsi" w:hAnsiTheme="majorHAnsi" w:cs="Times New Roman"/>
              </w:rPr>
              <w:t xml:space="preserve"> әкімінің </w:t>
            </w:r>
            <w:r w:rsidRPr="00CB3AFD">
              <w:rPr>
                <w:rFonts w:asciiTheme="majorHAnsi" w:hAnsiTheme="majorHAnsi" w:cs="Times New Roman"/>
              </w:rPr>
              <w:lastRenderedPageBreak/>
              <w:t>аппараты ММ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lastRenderedPageBreak/>
              <w:t>Сатып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алудың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атауы</w:t>
            </w:r>
            <w:proofErr w:type="spellEnd"/>
            <w:r w:rsidRPr="002D2B6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28" w:type="dxa"/>
          </w:tcPr>
          <w:p w:rsidR="00086421" w:rsidRPr="002D2B64" w:rsidRDefault="00F03FBD" w:rsidP="00086421">
            <w:pPr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03FBD">
              <w:rPr>
                <w:rFonts w:asciiTheme="majorHAnsi" w:hAnsiTheme="majorHAnsi" w:cs="Times New Roman"/>
              </w:rPr>
              <w:t>Жарықтандыру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Соловьев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ауылдық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округі</w:t>
            </w:r>
            <w:proofErr w:type="spellEnd"/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Жұмыстың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атауы</w:t>
            </w:r>
            <w:proofErr w:type="spellEnd"/>
            <w:r w:rsidRPr="002D2B6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28" w:type="dxa"/>
          </w:tcPr>
          <w:p w:rsidR="006C05BA" w:rsidRPr="002D2B64" w:rsidRDefault="00F03FBD" w:rsidP="0061122B">
            <w:pPr>
              <w:rPr>
                <w:rFonts w:asciiTheme="majorHAnsi" w:hAnsiTheme="majorHAnsi" w:cs="Times New Roman"/>
              </w:rPr>
            </w:pPr>
            <w:r w:rsidRPr="00F03FBD">
              <w:rPr>
                <w:rFonts w:asciiTheme="majorHAnsi" w:hAnsiTheme="majorHAnsi" w:cs="Times New Roman"/>
              </w:rPr>
              <w:t xml:space="preserve">Электр, Электр </w:t>
            </w:r>
            <w:proofErr w:type="spellStart"/>
            <w:r w:rsidRPr="00F03FBD">
              <w:rPr>
                <w:rFonts w:asciiTheme="majorHAnsi" w:hAnsiTheme="majorHAnsi" w:cs="Times New Roman"/>
              </w:rPr>
              <w:t>тарату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/ </w:t>
            </w:r>
            <w:proofErr w:type="spellStart"/>
            <w:r w:rsidRPr="00F03FBD">
              <w:rPr>
                <w:rFonts w:asciiTheme="majorHAnsi" w:hAnsiTheme="majorHAnsi" w:cs="Times New Roman"/>
              </w:rPr>
              <w:t>реттеу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жабдықтары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мен </w:t>
            </w:r>
            <w:proofErr w:type="spellStart"/>
            <w:r w:rsidRPr="00F03FBD">
              <w:rPr>
                <w:rFonts w:asciiTheme="majorHAnsi" w:hAnsiTheme="majorHAnsi" w:cs="Times New Roman"/>
              </w:rPr>
              <w:t>ұқсас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аппаратураларды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жөндеу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/ </w:t>
            </w:r>
            <w:proofErr w:type="spellStart"/>
            <w:r w:rsidRPr="00F03FBD">
              <w:rPr>
                <w:rFonts w:asciiTheme="majorHAnsi" w:hAnsiTheme="majorHAnsi" w:cs="Times New Roman"/>
              </w:rPr>
              <w:t>реконструкциялау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жөніндегі</w:t>
            </w:r>
            <w:proofErr w:type="spellEnd"/>
            <w:r w:rsidRPr="00F03FB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03FBD">
              <w:rPr>
                <w:rFonts w:asciiTheme="majorHAnsi" w:hAnsiTheme="majorHAnsi" w:cs="Times New Roman"/>
              </w:rPr>
              <w:t>жұмыстар</w:t>
            </w:r>
            <w:proofErr w:type="spellEnd"/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Өлшем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бірлігі</w:t>
            </w:r>
            <w:proofErr w:type="spellEnd"/>
            <w:r w:rsidRPr="002D2B6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28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Жұмыс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Саны(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көлемі</w:t>
            </w:r>
            <w:proofErr w:type="spellEnd"/>
            <w:r w:rsidRPr="002D2B64">
              <w:rPr>
                <w:rFonts w:asciiTheme="majorHAnsi" w:hAnsiTheme="majorHAnsi" w:cs="Times New Roman"/>
              </w:rPr>
              <w:t>):</w:t>
            </w:r>
          </w:p>
        </w:tc>
        <w:tc>
          <w:tcPr>
            <w:tcW w:w="6628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1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Жұмыстың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орындалу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мерзімі</w:t>
            </w:r>
            <w:proofErr w:type="spellEnd"/>
            <w:r w:rsidRPr="002D2B6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28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30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күнтізбелік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күн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беруші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өтінім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бергеннен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кейін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  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орындау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орны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: </w:t>
            </w:r>
          </w:p>
        </w:tc>
        <w:tc>
          <w:tcPr>
            <w:tcW w:w="6628" w:type="dxa"/>
          </w:tcPr>
          <w:p w:rsidR="006C05BA" w:rsidRPr="002D2B64" w:rsidRDefault="007B4734" w:rsidP="0061122B">
            <w:pPr>
              <w:rPr>
                <w:rFonts w:asciiTheme="majorHAnsi" w:hAnsiTheme="majorHAnsi" w:cs="Times New Roman"/>
              </w:rPr>
            </w:pPr>
            <w:r w:rsidRPr="007B4734">
              <w:rPr>
                <w:rFonts w:asciiTheme="majorHAnsi" w:hAnsiTheme="majorHAnsi" w:cs="Times New Roman"/>
              </w:rPr>
              <w:t xml:space="preserve">ШҚО, Алтай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ауданы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, Соловьево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ауылы</w:t>
            </w:r>
            <w:proofErr w:type="spellEnd"/>
            <w:r w:rsidRPr="007B4734">
              <w:rPr>
                <w:rFonts w:asciiTheme="majorHAnsi" w:hAnsiTheme="majorHAnsi" w:cs="Times New Roman"/>
              </w:rPr>
              <w:t>, Рыжов көшесі, 14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Аванстық төлемнің мөлшері:  </w:t>
            </w:r>
          </w:p>
        </w:tc>
        <w:tc>
          <w:tcPr>
            <w:tcW w:w="6628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0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Кепілдік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мерзімі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</w:p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>(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айлармен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6628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r w:rsidRPr="002D2B64">
              <w:rPr>
                <w:rFonts w:asciiTheme="majorHAnsi" w:hAnsiTheme="majorHAnsi" w:cs="Times New Roman"/>
              </w:rPr>
              <w:t xml:space="preserve">12 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Талап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етілетін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сипаттамалардың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параметрлердің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және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өзге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де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бастапқы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деректердің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сипаттамасы</w:t>
            </w:r>
            <w:proofErr w:type="spellEnd"/>
          </w:p>
        </w:tc>
        <w:tc>
          <w:tcPr>
            <w:tcW w:w="6628" w:type="dxa"/>
          </w:tcPr>
          <w:p w:rsidR="006C05BA" w:rsidRPr="002D2B64" w:rsidRDefault="005207ED" w:rsidP="0061122B">
            <w:pPr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5207ED">
              <w:rPr>
                <w:rFonts w:asciiTheme="majorHAnsi" w:hAnsiTheme="majorHAnsi" w:cs="Times New Roman"/>
              </w:rPr>
              <w:t>Көше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жарығын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орнату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жұмыстары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сметалық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құжаттамаға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сәйкес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жұмыстардың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қажетті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тізбесін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орындауды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қамтиды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аяқталғаннан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кейін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мердігер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полигонға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алып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кетуге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не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пайда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болған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қоқысты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кәдеге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жаратуға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объектіні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берушіге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тапсыруға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мердігердің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Орындаушының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)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сметалық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есебімен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орындалған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жұмыстар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актісін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барысында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пайдаланылатын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тауарларға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сертификаттар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мен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паспорттарды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беруге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міндетті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беруші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нәтижелерін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Шартта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көрсетілген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мақсат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үшін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пайдалану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мүмкіндігін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болдырмайтын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кемшіліктер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анықталған жағдайда жұмыс нәтижелерін қабылдаудан бас тартуға құқылы.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Мердігердің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жұмыс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нәтижелерін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тапсыруы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және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оларды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берушінің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қабылдауы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екі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тарап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қол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қойған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актімен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ресімделеді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. 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беруші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өз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өтінімінде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көше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жарықтандыру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жүйесін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орнату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орындарын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көрсетеді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Мердігер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5207ED">
              <w:rPr>
                <w:rFonts w:asciiTheme="majorHAnsi" w:hAnsiTheme="majorHAnsi" w:cs="Times New Roman"/>
              </w:rPr>
              <w:t>Орындаушы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)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шарт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жасасқаннан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кейін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күнтізбелік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30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күн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ішінде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"БЭСК" АҚ-дан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техникалық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шарттар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алуға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сондай-ақ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ведомстводан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тыс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сараптамадан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өтіп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көшені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жарықтандыру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құрылғысына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жобалау-сметалық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құжаттаманы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дербес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әзірлеуге</w:t>
            </w:r>
            <w:proofErr w:type="spellEnd"/>
            <w:r w:rsidRPr="005207E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207ED">
              <w:rPr>
                <w:rFonts w:asciiTheme="majorHAnsi" w:hAnsiTheme="majorHAnsi" w:cs="Times New Roman"/>
              </w:rPr>
              <w:t>міндетті</w:t>
            </w:r>
            <w:proofErr w:type="spellEnd"/>
            <w:r w:rsidRPr="005207ED">
              <w:rPr>
                <w:rFonts w:asciiTheme="majorHAnsi" w:hAnsiTheme="majorHAnsi" w:cs="Times New Roman"/>
              </w:rPr>
              <w:t>.</w:t>
            </w:r>
          </w:p>
        </w:tc>
      </w:tr>
      <w:tr w:rsidR="006C05BA" w:rsidRPr="002D2B64" w:rsidTr="0061122B">
        <w:tc>
          <w:tcPr>
            <w:tcW w:w="2943" w:type="dxa"/>
          </w:tcPr>
          <w:p w:rsidR="006C05BA" w:rsidRPr="002D2B64" w:rsidRDefault="006C05BA" w:rsidP="0061122B">
            <w:pPr>
              <w:rPr>
                <w:rFonts w:asciiTheme="majorHAnsi" w:hAnsiTheme="majorHAnsi" w:cs="Times New Roman"/>
              </w:rPr>
            </w:pPr>
            <w:proofErr w:type="spellStart"/>
            <w:r w:rsidRPr="002D2B64">
              <w:rPr>
                <w:rFonts w:asciiTheme="majorHAnsi" w:hAnsiTheme="majorHAnsi" w:cs="Times New Roman"/>
              </w:rPr>
              <w:t>Әлеуетті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өнім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беруші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жеңімпаз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болып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анықталған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және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онымен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мемлекеттік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сатып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алу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туралы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шарт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жасасқан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жағдайда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оған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қойылатын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талаптар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2D2B64">
              <w:rPr>
                <w:rFonts w:asciiTheme="majorHAnsi" w:hAnsiTheme="majorHAnsi" w:cs="Times New Roman"/>
              </w:rPr>
              <w:t>қажет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болған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жағдайда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көрсетіледі</w:t>
            </w:r>
            <w:proofErr w:type="spellEnd"/>
            <w:r w:rsidRPr="002D2B64">
              <w:rPr>
                <w:rFonts w:asciiTheme="majorHAnsi" w:hAnsiTheme="majorHAnsi" w:cs="Times New Roman"/>
              </w:rPr>
              <w:t>) (</w:t>
            </w:r>
            <w:proofErr w:type="spellStart"/>
            <w:r w:rsidRPr="002D2B64">
              <w:rPr>
                <w:rFonts w:asciiTheme="majorHAnsi" w:hAnsiTheme="majorHAnsi" w:cs="Times New Roman"/>
              </w:rPr>
              <w:t>Әлеуетті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өнім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берушіні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көрсетілген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мәліметтерді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көрсетпегені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және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ұсынбағаны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үшін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қабылдамауға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жол</w:t>
            </w:r>
            <w:proofErr w:type="spellEnd"/>
            <w:r w:rsidRPr="002D2B6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D2B64">
              <w:rPr>
                <w:rFonts w:asciiTheme="majorHAnsi" w:hAnsiTheme="majorHAnsi" w:cs="Times New Roman"/>
              </w:rPr>
              <w:t>берілмейді</w:t>
            </w:r>
            <w:proofErr w:type="spellEnd"/>
            <w:r w:rsidRPr="002D2B64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6628" w:type="dxa"/>
          </w:tcPr>
          <w:p w:rsidR="006C05BA" w:rsidRPr="002D2B64" w:rsidRDefault="007B4734" w:rsidP="0061122B">
            <w:pPr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7B4734">
              <w:rPr>
                <w:rFonts w:asciiTheme="majorHAnsi" w:hAnsiTheme="majorHAnsi" w:cs="Times New Roman"/>
              </w:rPr>
              <w:t>Ұсынылатын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техникалық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талаптарға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ҚНжЕ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стандарттарына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сәйкес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келуі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және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олардың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сапасын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төмендететін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ақаулары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болмауы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тиіс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техникалық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ерекшелікке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және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сметалық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құжаттамаға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сәйкес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толық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көлемде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орындалуы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тиіс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Тапсырыс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берушіге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жүргізу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орнында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көшпелі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тексерулерді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ұсыну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және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орындалатын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растау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және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орындалған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актілеріне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қол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қою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үшін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кез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келген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ақпаратты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алу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құқығымен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байқаушы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ретінде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жүргізуге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қатысу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жүргізу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басталғанға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дейін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мердігер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жұмыстарды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жүргізу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кестесін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ұсынуға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және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келісуге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қажетті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шараларды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қамтамасыз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ете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отырып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көлік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құралдары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мен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жаяу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жүргіншінің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қауіпсіз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қозғалысын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қамтамасыз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етуге</w:t>
            </w:r>
            <w:proofErr w:type="spellEnd"/>
            <w:r w:rsidRPr="007B4734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4734">
              <w:rPr>
                <w:rFonts w:asciiTheme="majorHAnsi" w:hAnsiTheme="majorHAnsi" w:cs="Times New Roman"/>
              </w:rPr>
              <w:t>міндетті</w:t>
            </w:r>
            <w:proofErr w:type="spellEnd"/>
            <w:r w:rsidRPr="007B4734">
              <w:rPr>
                <w:rFonts w:asciiTheme="majorHAnsi" w:hAnsiTheme="majorHAnsi" w:cs="Times New Roman"/>
              </w:rPr>
              <w:t>.</w:t>
            </w:r>
          </w:p>
        </w:tc>
      </w:tr>
    </w:tbl>
    <w:p w:rsidR="006C05BA" w:rsidRPr="002D2B64" w:rsidRDefault="006C05BA" w:rsidP="006C05BA">
      <w:pPr>
        <w:spacing w:after="0" w:line="240" w:lineRule="auto"/>
        <w:jc w:val="center"/>
        <w:rPr>
          <w:rFonts w:asciiTheme="majorHAnsi" w:hAnsiTheme="majorHAnsi" w:cs="Times New Roman"/>
        </w:rPr>
      </w:pPr>
    </w:p>
    <w:sectPr w:rsidR="006C05BA" w:rsidRPr="002D2B64" w:rsidSect="00ED36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7A8"/>
    <w:rsid w:val="000023F1"/>
    <w:rsid w:val="00086421"/>
    <w:rsid w:val="00187CC2"/>
    <w:rsid w:val="001A09F8"/>
    <w:rsid w:val="001B57E7"/>
    <w:rsid w:val="0023600D"/>
    <w:rsid w:val="002770D2"/>
    <w:rsid w:val="002A6FC5"/>
    <w:rsid w:val="002D2B64"/>
    <w:rsid w:val="002E035E"/>
    <w:rsid w:val="00311225"/>
    <w:rsid w:val="003447A8"/>
    <w:rsid w:val="00376B41"/>
    <w:rsid w:val="004337C6"/>
    <w:rsid w:val="00493414"/>
    <w:rsid w:val="004C27C5"/>
    <w:rsid w:val="004F4EBB"/>
    <w:rsid w:val="005207ED"/>
    <w:rsid w:val="00526093"/>
    <w:rsid w:val="00624E5D"/>
    <w:rsid w:val="0065290B"/>
    <w:rsid w:val="006C05BA"/>
    <w:rsid w:val="00722CBA"/>
    <w:rsid w:val="00741B9A"/>
    <w:rsid w:val="00764AD9"/>
    <w:rsid w:val="00792A11"/>
    <w:rsid w:val="007B218E"/>
    <w:rsid w:val="007B4734"/>
    <w:rsid w:val="0080218E"/>
    <w:rsid w:val="0082219E"/>
    <w:rsid w:val="0084304C"/>
    <w:rsid w:val="008C11E9"/>
    <w:rsid w:val="00965251"/>
    <w:rsid w:val="009C56DF"/>
    <w:rsid w:val="009E0ECA"/>
    <w:rsid w:val="00A65829"/>
    <w:rsid w:val="00A91D4D"/>
    <w:rsid w:val="00B71EB6"/>
    <w:rsid w:val="00BA379E"/>
    <w:rsid w:val="00BD67A7"/>
    <w:rsid w:val="00C0450E"/>
    <w:rsid w:val="00CB3AFD"/>
    <w:rsid w:val="00D0120C"/>
    <w:rsid w:val="00E5255D"/>
    <w:rsid w:val="00EB2CB5"/>
    <w:rsid w:val="00ED36EE"/>
    <w:rsid w:val="00ED7716"/>
    <w:rsid w:val="00F03FBD"/>
    <w:rsid w:val="00F43B69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D21E"/>
  <w15:docId w15:val="{FCCCDE7D-01B5-4293-A550-B5A1A766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D9"/>
  </w:style>
  <w:style w:type="paragraph" w:styleId="3">
    <w:name w:val="heading 3"/>
    <w:basedOn w:val="a"/>
    <w:link w:val="30"/>
    <w:uiPriority w:val="9"/>
    <w:qFormat/>
    <w:rsid w:val="00344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7A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B71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</dc:creator>
  <cp:keywords/>
  <dc:description/>
  <cp:lastModifiedBy>Данил Заплетин</cp:lastModifiedBy>
  <cp:revision>14</cp:revision>
  <dcterms:created xsi:type="dcterms:W3CDTF">2024-01-17T03:12:00Z</dcterms:created>
  <dcterms:modified xsi:type="dcterms:W3CDTF">2025-02-11T14:08:00Z</dcterms:modified>
</cp:coreProperties>
</file>