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789D0" w14:textId="7A52194F" w:rsidR="00886700" w:rsidRDefault="00886700" w:rsidP="00B15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A1D9D8" w14:textId="77777777" w:rsidR="00B46D75" w:rsidRDefault="00B46D75" w:rsidP="00B15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25A2B2" w14:textId="2958F1F8" w:rsidR="00DF36EB" w:rsidRPr="00D47E78" w:rsidRDefault="0064386F" w:rsidP="00B15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b/>
          <w:sz w:val="24"/>
          <w:szCs w:val="24"/>
          <w:lang w:val="kk-KZ"/>
        </w:rPr>
        <w:t>Техникалық ерекшелік</w:t>
      </w:r>
    </w:p>
    <w:p w14:paraId="61DF769B" w14:textId="77777777" w:rsidR="00DF36EB" w:rsidRPr="00D47E78" w:rsidRDefault="000937A3" w:rsidP="00B15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7" w:tgtFrame="_blank" w:history="1">
        <w:r w:rsidR="0064386F" w:rsidRPr="00D47E78">
          <w:rPr>
            <w:rFonts w:ascii="Times New Roman" w:hAnsi="Times New Roman" w:cs="Times New Roman"/>
            <w:b/>
            <w:sz w:val="24"/>
            <w:szCs w:val="24"/>
            <w:lang w:val="kk-KZ"/>
          </w:rPr>
          <w:t>Жазатайым</w:t>
        </w:r>
        <w:r w:rsidR="00BA39E9" w:rsidRPr="00D47E78">
          <w:rPr>
            <w:rFonts w:ascii="Times New Roman" w:hAnsi="Times New Roman" w:cs="Times New Roman"/>
            <w:b/>
            <w:sz w:val="24"/>
            <w:szCs w:val="24"/>
            <w:lang w:val="kk-KZ"/>
          </w:rPr>
          <w:t xml:space="preserve"> </w:t>
        </w:r>
        <w:r w:rsidR="0064386F" w:rsidRPr="00D47E78">
          <w:rPr>
            <w:rFonts w:ascii="Times New Roman" w:hAnsi="Times New Roman" w:cs="Times New Roman"/>
            <w:b/>
            <w:sz w:val="24"/>
            <w:szCs w:val="24"/>
            <w:lang w:val="kk-KZ"/>
          </w:rPr>
          <w:t>оқиғалардан</w:t>
        </w:r>
        <w:r w:rsidR="00BA39E9" w:rsidRPr="00D47E78">
          <w:rPr>
            <w:rFonts w:ascii="Times New Roman" w:hAnsi="Times New Roman" w:cs="Times New Roman"/>
            <w:b/>
            <w:sz w:val="24"/>
            <w:szCs w:val="24"/>
            <w:lang w:val="kk-KZ"/>
          </w:rPr>
          <w:t xml:space="preserve"> </w:t>
        </w:r>
        <w:r w:rsidR="0064386F" w:rsidRPr="00D47E78">
          <w:rPr>
            <w:rFonts w:ascii="Times New Roman" w:hAnsi="Times New Roman" w:cs="Times New Roman"/>
            <w:b/>
            <w:sz w:val="24"/>
            <w:szCs w:val="24"/>
            <w:lang w:val="kk-KZ"/>
          </w:rPr>
          <w:t>сақтандыру</w:t>
        </w:r>
        <w:r w:rsidR="00BA39E9" w:rsidRPr="00D47E78">
          <w:rPr>
            <w:rFonts w:ascii="Times New Roman" w:hAnsi="Times New Roman" w:cs="Times New Roman"/>
            <w:b/>
            <w:sz w:val="24"/>
            <w:szCs w:val="24"/>
            <w:lang w:val="kk-KZ"/>
          </w:rPr>
          <w:t xml:space="preserve"> </w:t>
        </w:r>
        <w:r w:rsidR="0064386F" w:rsidRPr="00D47E78">
          <w:rPr>
            <w:rFonts w:ascii="Times New Roman" w:hAnsi="Times New Roman" w:cs="Times New Roman"/>
            <w:b/>
            <w:sz w:val="24"/>
            <w:szCs w:val="24"/>
            <w:lang w:val="kk-KZ"/>
          </w:rPr>
          <w:t>бойынша</w:t>
        </w:r>
        <w:r w:rsidR="00BA39E9" w:rsidRPr="00D47E78">
          <w:rPr>
            <w:rFonts w:ascii="Times New Roman" w:hAnsi="Times New Roman" w:cs="Times New Roman"/>
            <w:b/>
            <w:sz w:val="24"/>
            <w:szCs w:val="24"/>
            <w:lang w:val="kk-KZ"/>
          </w:rPr>
          <w:t xml:space="preserve"> </w:t>
        </w:r>
        <w:r w:rsidR="0064386F" w:rsidRPr="00D47E78">
          <w:rPr>
            <w:rFonts w:ascii="Times New Roman" w:hAnsi="Times New Roman" w:cs="Times New Roman"/>
            <w:b/>
            <w:sz w:val="24"/>
            <w:szCs w:val="24"/>
            <w:lang w:val="kk-KZ"/>
          </w:rPr>
          <w:t>қызметтер</w:t>
        </w:r>
      </w:hyperlink>
    </w:p>
    <w:p w14:paraId="2CCF2F4A" w14:textId="77777777" w:rsidR="003C08AF" w:rsidRPr="00D47E78" w:rsidRDefault="003C08AF" w:rsidP="00832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E7F6280" w14:textId="68533668" w:rsidR="00832997" w:rsidRPr="00D47E78" w:rsidRDefault="0064386F" w:rsidP="00832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Қызметкерлердің саны – </w:t>
      </w:r>
      <w:r w:rsidR="00852240">
        <w:rPr>
          <w:rFonts w:ascii="Times New Roman" w:hAnsi="Times New Roman" w:cs="Times New Roman"/>
          <w:sz w:val="24"/>
          <w:szCs w:val="24"/>
          <w:lang w:val="kk-KZ"/>
        </w:rPr>
        <w:t>906</w:t>
      </w:r>
      <w:r w:rsidR="00886700">
        <w:rPr>
          <w:rFonts w:ascii="Times New Roman" w:hAnsi="Times New Roman" w:cs="Times New Roman"/>
          <w:sz w:val="24"/>
          <w:szCs w:val="24"/>
          <w:lang w:val="kk-KZ"/>
        </w:rPr>
        <w:t xml:space="preserve"> адам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. Сақтандыру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кезеңі -12 ай.</w:t>
      </w:r>
    </w:p>
    <w:p w14:paraId="54D60088" w14:textId="46E8E68C" w:rsidR="00BA39E9" w:rsidRPr="00D47E78" w:rsidRDefault="0064386F" w:rsidP="00832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sz w:val="24"/>
          <w:szCs w:val="24"/>
          <w:lang w:val="kk-KZ"/>
        </w:rPr>
        <w:t>Сақтандырудың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түрі-қызметкердің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еңбек (қызметтік) міндеттерін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атқарған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кезде оны жазатайым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оқиғалардан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міндетті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сақтандыру. Сақтандыру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нысаны – бұл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кәсіптік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еңбекке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қабілеттілігінен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айырылу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дәрежесін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жоюға не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оның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өліміне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әкеп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соққан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жазатайым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оқиға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нәтижесінде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өмірі мен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денсаулығына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зиян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келтірілген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қызметкердің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мүліктік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мүдделері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болады. Сақтандыру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жағдайы-зиянды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және (немесе) қауіпті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өндірістік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фактордың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әсер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етуі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салдарынан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қызметкердің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кәсіптік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еңбекке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қабілеттілігінен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айрылу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дәрежесін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белгілеуге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әкеп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соққан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өндірістік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жарақаттануы, денсаулығыныңкенеттеннашарлауын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емесеулануы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салдарынан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қызметкердің (қызметкерлердің) еңбек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қызметтік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міндеттерін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атқарған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кезде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онымен (олармен) болған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еңбек (қызметтік) міндеттерін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орындау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кезінде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жазатайым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оқиғаның (жазатайымоқиғаның) басталу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фактісі, ҚР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Еңбек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кодексінің 186-бабының 2-тармағында көзделген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мән-жайлар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кезінде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кәсіптік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ауруға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шалдығу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немесе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қайтыс болу жағдайлары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туралы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хабардар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етеді. Зиянның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мөлшерін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айқындау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тәртібі. Шарт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сақтандыру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төлемдері 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қызметкердің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өмірі мен денсаулығына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келтірілген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зиян, қызметкердің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уақытша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еңбекке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қабілетсіздігіне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байланысты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зиянды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қоспағанда, оның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қайтыс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болуына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немесе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оған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кәсіптік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еңбекке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қабілеттілігінен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айрылу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дәрежесін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белгілеуге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байланысты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зиянның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материалдық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көрінісін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қамтиды. Өзіне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кәсіптік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еңбекке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қабілеттілігінен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айырылу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дәрежесін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отыздан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жүз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пайызды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қоса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алғанға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дейін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белгілеуге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байланысты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қызметкердің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табысты (кірісті) жоғалтуына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қатысты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зиянды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өтеу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ретінде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қызметкерге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тиесілі ай сайынғы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сақтандыру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төлемін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Сақтандырушы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жүзеге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асырады. Сақтандырушы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міндетті:</w:t>
      </w:r>
    </w:p>
    <w:p w14:paraId="30DF54A6" w14:textId="77777777" w:rsidR="00BA39E9" w:rsidRPr="00D47E78" w:rsidRDefault="0064386F" w:rsidP="00BA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- Сақтанушыны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талаптар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таныстыру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оның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құқықтары мен міндеттерін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түсіндіру;</w:t>
      </w:r>
    </w:p>
    <w:p w14:paraId="02BF25B9" w14:textId="77777777" w:rsidR="00BA39E9" w:rsidRPr="00D47E78" w:rsidRDefault="0064386F" w:rsidP="00BA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- сақтандыру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жағдайы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басталған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кезде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заңға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және осы Шартқа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сәйкес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мүгедектікке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жерлеуге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емес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шығыстарды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сақтандыру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төлемін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өтеуді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жүргізуге; - өз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қызметі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нәтижесінде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алынған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сақтанушы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пайдаалушы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туралы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мәліметтердің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құпиялылығын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қамтамасыз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етугеміндетті; </w:t>
      </w:r>
    </w:p>
    <w:p w14:paraId="7A16CD45" w14:textId="77777777" w:rsidR="00B15A29" w:rsidRPr="00D47E78" w:rsidRDefault="0064386F" w:rsidP="00BA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sz w:val="24"/>
          <w:szCs w:val="24"/>
          <w:lang w:val="kk-KZ"/>
        </w:rPr>
        <w:t>- Сақтанушыға</w:t>
      </w:r>
      <w:r w:rsidR="00BA39E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сақтандыру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жағдайы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кезінде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шығындарды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азайту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үшін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жұмсалған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шығындарды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өтеуге; </w:t>
      </w:r>
    </w:p>
    <w:p w14:paraId="324F98D3" w14:textId="5449457B" w:rsidR="00C745AE" w:rsidRPr="00D47E78" w:rsidRDefault="0064386F" w:rsidP="00BA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sz w:val="24"/>
          <w:szCs w:val="24"/>
          <w:lang w:val="kk-KZ"/>
        </w:rPr>
        <w:t>- осы Шартпен</w:t>
      </w:r>
      <w:r w:rsidR="00851A04" w:rsidRPr="00851A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және ҚР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қолданыстағы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заңнамасымен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қарастырылған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барлық (басқа) міндеттерді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тиісті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түрде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орындау. </w:t>
      </w:r>
    </w:p>
    <w:p w14:paraId="0CE9A002" w14:textId="6FE1538F" w:rsidR="00832997" w:rsidRPr="00D47E78" w:rsidRDefault="0064386F" w:rsidP="00BA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sz w:val="24"/>
          <w:szCs w:val="24"/>
          <w:lang w:val="kk-KZ"/>
        </w:rPr>
        <w:t>Шарттың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қолданылу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аумағы 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Сақтандырылушының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жұмыс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орны не Сақтандырылушының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Жұмыс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берушінің (Сақтандыру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Шарты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бойынш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асақтандыру) немесе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Сақтанушы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ұйымының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лауазымды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адамының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тапсыруына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байланысты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оның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еңбек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немесе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өзге де міндеттерді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орындауына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байланысты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болатын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басқа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>орын.</w:t>
      </w:r>
    </w:p>
    <w:p w14:paraId="57CDD092" w14:textId="051B8C7F" w:rsidR="00B15A29" w:rsidRPr="00D47E78" w:rsidRDefault="0064386F" w:rsidP="00BA39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Сатып</w:t>
      </w:r>
      <w:r w:rsidR="00627163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алынатын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қызметтер</w:t>
      </w:r>
      <w:r w:rsidR="00627163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мыналарға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сәйкес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көрсетіледі: </w:t>
      </w:r>
    </w:p>
    <w:p w14:paraId="0DC74F3A" w14:textId="19FB5152" w:rsidR="00B15A29" w:rsidRPr="00D47E78" w:rsidRDefault="0064386F" w:rsidP="00BA39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1) «Қызметкер</w:t>
      </w:r>
      <w:r w:rsidR="00851A04" w:rsidRPr="00851A0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еңбек (қызметтік) міндеттерін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атқарған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кезде оны жазатайым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оқиғалардан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міндетті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сақтандыру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туралы» Қазақстан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Республикасының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Заңымен;</w:t>
      </w:r>
    </w:p>
    <w:p w14:paraId="323723E9" w14:textId="77777777" w:rsidR="00B15A29" w:rsidRPr="00D47E78" w:rsidRDefault="0064386F" w:rsidP="00BA39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2) Қазақстан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Республикасының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Еңбек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кодексі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мен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белгіленеді. </w:t>
      </w:r>
    </w:p>
    <w:p w14:paraId="08697232" w14:textId="77777777" w:rsidR="00B15A29" w:rsidRPr="00D47E78" w:rsidRDefault="0064386F" w:rsidP="00BA39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3) «Сақтандыру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қызметі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туралы» Қазақстан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Республикасының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Заңымен; </w:t>
      </w:r>
    </w:p>
    <w:p w14:paraId="504EA5C1" w14:textId="77777777" w:rsidR="00627163" w:rsidRPr="00D47E78" w:rsidRDefault="0064386F" w:rsidP="00BA39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4) «Мемлекеттік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сатып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алу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туралы» Қазақстан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Республикасының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Заңымен. Сақтандыру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сыйлықақысы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Заңда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белгіленген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сақтандыру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тарифінің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негізінде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айқындалады. </w:t>
      </w:r>
    </w:p>
    <w:p w14:paraId="7439C2CA" w14:textId="7113401C" w:rsidR="00AB7AB5" w:rsidRPr="00733F1E" w:rsidRDefault="0064386F" w:rsidP="00AB7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kk-KZ"/>
        </w:rPr>
      </w:pP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Жеткізу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мерзімі мен орны: сақтандыру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аумағы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болады 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–</w:t>
      </w:r>
      <w:r w:rsid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>Қазақстан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733F1E">
        <w:rPr>
          <w:rFonts w:ascii="Times New Roman" w:hAnsi="Times New Roman" w:cs="Times New Roman"/>
          <w:i/>
          <w:iCs/>
          <w:lang w:val="kk-KZ"/>
        </w:rPr>
        <w:t>Республикасының</w:t>
      </w:r>
      <w:r w:rsidR="00B15A29" w:rsidRPr="00733F1E">
        <w:rPr>
          <w:rFonts w:ascii="Times New Roman" w:hAnsi="Times New Roman" w:cs="Times New Roman"/>
          <w:i/>
          <w:iCs/>
          <w:lang w:val="kk-KZ"/>
        </w:rPr>
        <w:t xml:space="preserve"> </w:t>
      </w:r>
      <w:r w:rsidRPr="00733F1E">
        <w:rPr>
          <w:rFonts w:ascii="Times New Roman" w:hAnsi="Times New Roman" w:cs="Times New Roman"/>
          <w:i/>
          <w:iCs/>
          <w:lang w:val="kk-KZ"/>
        </w:rPr>
        <w:t>аумағымен</w:t>
      </w:r>
      <w:r w:rsidR="00B15A29" w:rsidRPr="00733F1E">
        <w:rPr>
          <w:rFonts w:ascii="Times New Roman" w:hAnsi="Times New Roman" w:cs="Times New Roman"/>
          <w:i/>
          <w:iCs/>
          <w:lang w:val="kk-KZ"/>
        </w:rPr>
        <w:t xml:space="preserve"> </w:t>
      </w:r>
      <w:r w:rsidRPr="00733F1E">
        <w:rPr>
          <w:rFonts w:ascii="Times New Roman" w:hAnsi="Times New Roman" w:cs="Times New Roman"/>
          <w:i/>
          <w:iCs/>
          <w:lang w:val="kk-KZ"/>
        </w:rPr>
        <w:t xml:space="preserve">шектеледі. </w:t>
      </w:r>
      <w:r w:rsidR="00B95EE6" w:rsidRPr="00733F1E">
        <w:rPr>
          <w:rFonts w:ascii="Times New Roman" w:hAnsi="Times New Roman" w:cs="Times New Roman"/>
          <w:i/>
          <w:iCs/>
          <w:lang w:val="kk-KZ"/>
        </w:rPr>
        <w:t>Шартқа қол қойған сәттен бастап 12 ай.</w:t>
      </w:r>
    </w:p>
    <w:p w14:paraId="692EAF6B" w14:textId="77777777" w:rsidR="00380BB1" w:rsidRDefault="00380BB1" w:rsidP="00B408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036594D8" w14:textId="437E75F4" w:rsidR="00AF78EC" w:rsidRPr="00081B31" w:rsidRDefault="00DE6639" w:rsidP="00AF78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Сақтанушы</w:t>
      </w:r>
      <w:r w:rsidRPr="00FF5A6D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: </w:t>
      </w:r>
      <w:r w:rsidR="004F5F01" w:rsidRPr="004F5F01">
        <w:rPr>
          <w:rFonts w:ascii="Times New Roman" w:hAnsi="Times New Roman" w:cs="Times New Roman"/>
          <w:i/>
          <w:iCs/>
          <w:sz w:val="18"/>
          <w:szCs w:val="18"/>
          <w:lang w:val="kk-KZ"/>
        </w:rPr>
        <w:t>Қарағанды облысы денсаулық сақтау басқармасының "Облыстық психикалық денсаулық орталығы" шаруашылық жүргізу құқығындағы коммуналдық мемлекеттік кәсіпорыны</w:t>
      </w:r>
    </w:p>
    <w:p w14:paraId="40F30CE3" w14:textId="474237C2" w:rsidR="00AF78EC" w:rsidRPr="004F5F01" w:rsidRDefault="00AF78EC" w:rsidP="00AF78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</w:p>
    <w:p w14:paraId="5261D867" w14:textId="77777777" w:rsidR="00AF78EC" w:rsidRPr="00AF78EC" w:rsidRDefault="00AF78EC" w:rsidP="00AF78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57A75DF5" w14:textId="77777777" w:rsidR="00405174" w:rsidRDefault="00405174" w:rsidP="00405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B23173" w14:textId="77777777" w:rsidR="00D77408" w:rsidRDefault="00D77408" w:rsidP="00B15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8F8F06" w14:textId="77777777" w:rsidR="00380BB1" w:rsidRDefault="00380BB1" w:rsidP="00B15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149F2B" w14:textId="078A5A13" w:rsidR="00DF36EB" w:rsidRPr="00D47E78" w:rsidRDefault="0064386F" w:rsidP="00B15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b/>
          <w:sz w:val="24"/>
          <w:szCs w:val="24"/>
          <w:lang w:val="kk-KZ"/>
        </w:rPr>
        <w:t>Техническая спецификация</w:t>
      </w:r>
    </w:p>
    <w:p w14:paraId="335F9110" w14:textId="0A8F6976" w:rsidR="00C745AE" w:rsidRPr="00B95EE6" w:rsidRDefault="000937A3" w:rsidP="00B95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tgtFrame="_blank" w:history="1">
        <w:r w:rsidR="0064386F" w:rsidRPr="00D47E7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9F9F9"/>
          </w:rPr>
          <w:t>Услуги по страхованию от несчастных случаев</w:t>
        </w:r>
      </w:hyperlink>
    </w:p>
    <w:p w14:paraId="0C925461" w14:textId="6F1D95B5" w:rsidR="00FE5E85" w:rsidRPr="00D47E78" w:rsidRDefault="00B2462E" w:rsidP="00C74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7E78">
        <w:rPr>
          <w:rFonts w:ascii="Times New Roman" w:hAnsi="Times New Roman" w:cs="Times New Roman"/>
          <w:sz w:val="24"/>
          <w:szCs w:val="24"/>
        </w:rPr>
        <w:t xml:space="preserve">Количество сотрудников </w:t>
      </w:r>
      <w:r w:rsidR="00FD647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64386F" w:rsidRPr="00D47E78">
        <w:rPr>
          <w:rFonts w:ascii="Times New Roman" w:hAnsi="Times New Roman" w:cs="Times New Roman"/>
          <w:sz w:val="24"/>
          <w:szCs w:val="24"/>
        </w:rPr>
        <w:t xml:space="preserve"> </w:t>
      </w:r>
      <w:r w:rsidR="00852240">
        <w:rPr>
          <w:rFonts w:ascii="Times New Roman" w:hAnsi="Times New Roman" w:cs="Times New Roman"/>
          <w:sz w:val="24"/>
          <w:szCs w:val="24"/>
        </w:rPr>
        <w:t>906</w:t>
      </w:r>
      <w:r w:rsidR="00886700">
        <w:rPr>
          <w:rFonts w:ascii="Times New Roman" w:hAnsi="Times New Roman" w:cs="Times New Roman"/>
          <w:sz w:val="24"/>
          <w:szCs w:val="24"/>
          <w:lang w:val="kk-KZ"/>
        </w:rPr>
        <w:t xml:space="preserve"> чел</w:t>
      </w:r>
      <w:r w:rsidR="0064386F" w:rsidRPr="00D47E78">
        <w:rPr>
          <w:rFonts w:ascii="Times New Roman" w:hAnsi="Times New Roman" w:cs="Times New Roman"/>
          <w:sz w:val="24"/>
          <w:szCs w:val="24"/>
        </w:rPr>
        <w:t>. Период страхования – 12 месяцев.</w:t>
      </w:r>
    </w:p>
    <w:p w14:paraId="42B2944E" w14:textId="0468E369" w:rsidR="00B15A29" w:rsidRPr="00D47E78" w:rsidRDefault="0064386F" w:rsidP="00FE5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sz w:val="24"/>
          <w:szCs w:val="24"/>
        </w:rPr>
        <w:t>Вид страхования -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</w:rPr>
        <w:t>обязательное страхование работника от несчастных случаев при исполнении им трудовых (</w:t>
      </w:r>
      <w:r w:rsidR="00B15A29" w:rsidRPr="00D47E78">
        <w:rPr>
          <w:rFonts w:ascii="Times New Roman" w:hAnsi="Times New Roman" w:cs="Times New Roman"/>
          <w:sz w:val="24"/>
          <w:szCs w:val="24"/>
        </w:rPr>
        <w:t>служебных) обязанностей. Объект</w:t>
      </w:r>
      <w:r w:rsidR="00B15A29"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7E78">
        <w:rPr>
          <w:rFonts w:ascii="Times New Roman" w:hAnsi="Times New Roman" w:cs="Times New Roman"/>
          <w:sz w:val="24"/>
          <w:szCs w:val="24"/>
        </w:rPr>
        <w:t xml:space="preserve">Страхования - объектом страхования являются имущественные интересы работника, жизни и здоровью которого причинен вред в результате несчастного случая, приведшего к устранению ему степени утраты профессиональной трудоспособности либо его смерти. Страховой случай-факт наступления несчастного случая при исполнении трудовых (служебных) обязанностей (несчастный случай), произошедшего с работником (работниками) при исполнении им (ими) трудовых служебных обязанностей в результате воздействия вредного и (или) опасного производственного фактора, вследствие которого произошли производственная травма, внезапное ухудшение здоровья или отравление работника, приведшего к установлению ему степени утраты профессиональной трудоспособности, профессиональному заболеванию либо смерти, при обстоятельствах, предусмотренных пунктом 2 статьи 186 Трудового кодекса РК. Порядок определения размера вреда. Страховые выплаты по договору- вред, причиненный жизни и здоровью работника, включает в себя материальное выражение вреда, связанного с его смертью или установлением ему степени утраты профессиональной трудоспособности, за исключением вреда, связанного с временной нетрудоспособностью работника. Ежемесячная страховая выплата, причитающаяся работнику в качестве возмещения вреда, связанного с утратой заработка (дохода) работником в связи с установлением ему степени утраты профессиональной трудоспособности от тридцати до ста процентов включительно, осуществляется Страховщиком. Страховщик обязан: </w:t>
      </w:r>
    </w:p>
    <w:p w14:paraId="57F039CB" w14:textId="77777777" w:rsidR="00B15A29" w:rsidRPr="00D47E78" w:rsidRDefault="0064386F" w:rsidP="00B15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sz w:val="24"/>
          <w:szCs w:val="24"/>
        </w:rPr>
        <w:t xml:space="preserve">-ознакомить Страхователя с условиями и разъяснить его права и обязанности; </w:t>
      </w:r>
    </w:p>
    <w:p w14:paraId="35E60932" w14:textId="77777777" w:rsidR="00B15A29" w:rsidRPr="00D47E78" w:rsidRDefault="0064386F" w:rsidP="00B15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sz w:val="24"/>
          <w:szCs w:val="24"/>
        </w:rPr>
        <w:t>-при наступлении страхового случая произвести страховую выплату и возмещение расходов не инвалидность и на погребение в соответствии с Законом и настоящим Договором;</w:t>
      </w:r>
    </w:p>
    <w:p w14:paraId="54FBA4F2" w14:textId="77777777" w:rsidR="00B15A29" w:rsidRPr="00D47E78" w:rsidRDefault="0064386F" w:rsidP="00B15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sz w:val="24"/>
          <w:szCs w:val="24"/>
        </w:rPr>
        <w:t xml:space="preserve"> - обеспечить конфиденциальность полученных в результате своей деятельности сведений о Страхователе и Выгодоприобретателе; </w:t>
      </w:r>
    </w:p>
    <w:p w14:paraId="54F3B353" w14:textId="77777777" w:rsidR="00B15A29" w:rsidRPr="00D47E78" w:rsidRDefault="0064386F" w:rsidP="00B15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sz w:val="24"/>
          <w:szCs w:val="24"/>
        </w:rPr>
        <w:t>- возместить Страхователю расходы, произведенные им для уменьшения убытков при страховом случае;</w:t>
      </w:r>
    </w:p>
    <w:p w14:paraId="24336812" w14:textId="77777777" w:rsidR="00B15A29" w:rsidRPr="00D47E78" w:rsidRDefault="0064386F" w:rsidP="00B15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sz w:val="24"/>
          <w:szCs w:val="24"/>
        </w:rPr>
        <w:t xml:space="preserve"> -надлежащим образом исполнять все (иные) обязанности, предусмотренные настоящим Договором и действующим законодательством РК. </w:t>
      </w:r>
    </w:p>
    <w:p w14:paraId="632C4A1C" w14:textId="77777777" w:rsidR="00B15A29" w:rsidRPr="00D47E78" w:rsidRDefault="0064386F" w:rsidP="00B15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sz w:val="24"/>
          <w:szCs w:val="24"/>
        </w:rPr>
        <w:t>Территория действия Договора</w:t>
      </w:r>
      <w:r w:rsidRPr="00D47E78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D47E78">
        <w:rPr>
          <w:rFonts w:ascii="Times New Roman" w:hAnsi="Times New Roman" w:cs="Times New Roman"/>
          <w:sz w:val="24"/>
          <w:szCs w:val="24"/>
        </w:rPr>
        <w:t xml:space="preserve">Место работы Застрахованного либо другое место, нахождение в котором Застрахованного было обусловлено выполнением им трудовых или иных обязанностей, связанных с поручением работодателя (Страхование по Договору страхование) или должностного лица организации Страхователя. </w:t>
      </w:r>
    </w:p>
    <w:p w14:paraId="352410A1" w14:textId="77777777" w:rsidR="00B15A29" w:rsidRPr="00D47E78" w:rsidRDefault="0064386F" w:rsidP="00B15A2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i/>
          <w:iCs/>
          <w:sz w:val="24"/>
          <w:szCs w:val="24"/>
        </w:rPr>
        <w:t xml:space="preserve">Закупаемые услуги оказываются в соответствии с: </w:t>
      </w:r>
    </w:p>
    <w:p w14:paraId="439EBF03" w14:textId="77777777" w:rsidR="00B15A29" w:rsidRPr="00D47E78" w:rsidRDefault="0064386F" w:rsidP="00B15A2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i/>
          <w:iCs/>
          <w:sz w:val="24"/>
          <w:szCs w:val="24"/>
        </w:rPr>
        <w:t xml:space="preserve">1) Законом Республики Казахстан «Об обязательном страховании работника от несчастных случаев при исполнении им трудовых (служебных) обязанностей»; </w:t>
      </w:r>
    </w:p>
    <w:p w14:paraId="3C12BDB7" w14:textId="77777777" w:rsidR="00B15A29" w:rsidRPr="00D47E78" w:rsidRDefault="0064386F" w:rsidP="00B15A2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i/>
          <w:iCs/>
          <w:sz w:val="24"/>
          <w:szCs w:val="24"/>
        </w:rPr>
        <w:t xml:space="preserve">2) Трудовым кодексом Республики Казахстан. </w:t>
      </w:r>
    </w:p>
    <w:p w14:paraId="3604F756" w14:textId="77777777" w:rsidR="00B15A29" w:rsidRPr="00D47E78" w:rsidRDefault="0064386F" w:rsidP="00B15A2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i/>
          <w:iCs/>
          <w:sz w:val="24"/>
          <w:szCs w:val="24"/>
        </w:rPr>
        <w:t xml:space="preserve">3) Законом Республики Казахстан «О страховой деятельности»; </w:t>
      </w:r>
    </w:p>
    <w:p w14:paraId="7791809F" w14:textId="77777777" w:rsidR="00AB7AB5" w:rsidRPr="00D47E78" w:rsidRDefault="0064386F" w:rsidP="00B15A2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i/>
          <w:iCs/>
          <w:sz w:val="24"/>
          <w:szCs w:val="24"/>
        </w:rPr>
        <w:t xml:space="preserve">4) Законом Республики Казахстан «О государственных закупках». Страховая премия определяется на основе страхового тарифа, установленного Законом. </w:t>
      </w:r>
    </w:p>
    <w:p w14:paraId="2400408F" w14:textId="3B10D875" w:rsidR="00970D2D" w:rsidRPr="00B95EE6" w:rsidRDefault="0064386F" w:rsidP="00AB7AB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47E78">
        <w:rPr>
          <w:rFonts w:ascii="Times New Roman" w:hAnsi="Times New Roman" w:cs="Times New Roman"/>
          <w:i/>
          <w:iCs/>
          <w:sz w:val="24"/>
          <w:szCs w:val="24"/>
        </w:rPr>
        <w:t xml:space="preserve">Срок и место поставки: Территорией страхования является - Территория действия страхования ограничивается территорией Республики </w:t>
      </w:r>
      <w:r w:rsidR="00B15A29" w:rsidRPr="00D47E78">
        <w:rPr>
          <w:rFonts w:ascii="Times New Roman" w:hAnsi="Times New Roman" w:cs="Times New Roman"/>
          <w:i/>
          <w:iCs/>
          <w:sz w:val="24"/>
          <w:szCs w:val="24"/>
        </w:rPr>
        <w:t>Казахстан</w:t>
      </w:r>
      <w:r w:rsidR="00D47E78" w:rsidRPr="00D47E7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70D2D" w:rsidRPr="00D47E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95EE6">
        <w:rPr>
          <w:rFonts w:ascii="Times New Roman" w:hAnsi="Times New Roman" w:cs="Times New Roman"/>
          <w:i/>
          <w:iCs/>
          <w:sz w:val="24"/>
          <w:szCs w:val="24"/>
          <w:lang w:val="kk-KZ"/>
        </w:rPr>
        <w:t>12 месяцев после подписания договора.</w:t>
      </w:r>
    </w:p>
    <w:p w14:paraId="1FAB885E" w14:textId="149F0CB5" w:rsidR="00FD647C" w:rsidRPr="0016133F" w:rsidRDefault="00AB7AB5" w:rsidP="00AF78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F5A6D">
        <w:rPr>
          <w:rFonts w:ascii="Times New Roman" w:hAnsi="Times New Roman" w:cs="Times New Roman"/>
          <w:i/>
          <w:iCs/>
          <w:sz w:val="24"/>
          <w:szCs w:val="24"/>
          <w:lang w:val="kk-KZ"/>
        </w:rPr>
        <w:t>Страхователь:</w:t>
      </w:r>
      <w:r w:rsidR="00405174" w:rsidRPr="00FF5A6D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="00852240" w:rsidRPr="00852240">
        <w:rPr>
          <w:rFonts w:ascii="Times New Roman" w:hAnsi="Times New Roman" w:cs="Times New Roman"/>
          <w:i/>
          <w:iCs/>
          <w:sz w:val="24"/>
          <w:szCs w:val="24"/>
          <w:lang w:val="kk-KZ"/>
        </w:rPr>
        <w:t>Коммунальное государственное предприятие на праве хозяйственного ведения "Областной центр психического здоровья" управления здравоохранения Карагандинской области</w:t>
      </w:r>
    </w:p>
    <w:p w14:paraId="1FD1D2C8" w14:textId="77777777" w:rsidR="00AF78EC" w:rsidRDefault="00AF78EC" w:rsidP="00DF0C4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17F33D8B" w14:textId="77777777" w:rsidR="00852240" w:rsidRDefault="00852240" w:rsidP="00DF0C4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</w:p>
    <w:p w14:paraId="7CA516ED" w14:textId="6B165953" w:rsidR="004F5F01" w:rsidRDefault="00FF15A7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  <w:r w:rsidRPr="00FF15A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  <w:t>Қарағанды облысы денсаулық сақтау басқармасының "Облыстық психикалық денсаулық орталығы" шаруашылық жүргізу құқығындағы коммуналдық мемлекеттік кәсіпорыны</w:t>
      </w:r>
    </w:p>
    <w:p w14:paraId="536DA8CE" w14:textId="77777777" w:rsidR="00FF15A7" w:rsidRPr="004F5F01" w:rsidRDefault="00FF15A7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FF15A7" w14:paraId="51A978A7" w14:textId="77777777" w:rsidTr="000F0A04">
        <w:trPr>
          <w:trHeight w:val="1771"/>
        </w:trPr>
        <w:tc>
          <w:tcPr>
            <w:tcW w:w="562" w:type="dxa"/>
          </w:tcPr>
          <w:p w14:paraId="60809E00" w14:textId="77777777" w:rsidR="00FF15A7" w:rsidRDefault="00FF15A7" w:rsidP="009F12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  <w:p w14:paraId="72CF8B5A" w14:textId="77777777" w:rsidR="00FF15A7" w:rsidRDefault="00FF15A7" w:rsidP="009F12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1F21F47B" w14:textId="77777777" w:rsidR="00FF15A7" w:rsidRDefault="00FF15A7" w:rsidP="009F12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74ACE507" w14:textId="77777777" w:rsidR="00FF15A7" w:rsidRDefault="00FF15A7" w:rsidP="009F12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27DB2F49" w14:textId="77777777" w:rsidR="00FF15A7" w:rsidRDefault="00FF15A7" w:rsidP="009F12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1EB1D32C" w14:textId="77777777" w:rsidR="00FF15A7" w:rsidRDefault="00FF15A7" w:rsidP="009F12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7C881CAE" w14:textId="413A40AA" w:rsidR="00FF15A7" w:rsidRDefault="00FF15A7" w:rsidP="009F12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п/п</w:t>
            </w:r>
          </w:p>
        </w:tc>
        <w:tc>
          <w:tcPr>
            <w:tcW w:w="4110" w:type="dxa"/>
          </w:tcPr>
          <w:p w14:paraId="41F6BBE2" w14:textId="77777777" w:rsidR="00FF15A7" w:rsidRDefault="00FF15A7" w:rsidP="009F12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31929A47" w14:textId="77777777" w:rsidR="00FF15A7" w:rsidRDefault="00FF15A7" w:rsidP="009F12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0CC14B2E" w14:textId="28AB632B" w:rsidR="00FF15A7" w:rsidRDefault="00FF15A7" w:rsidP="009F12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Қызмет атауы</w:t>
            </w:r>
          </w:p>
        </w:tc>
        <w:tc>
          <w:tcPr>
            <w:tcW w:w="2336" w:type="dxa"/>
          </w:tcPr>
          <w:p w14:paraId="6E6DE2DF" w14:textId="6131259F" w:rsidR="00FF15A7" w:rsidRDefault="00FF15A7" w:rsidP="009F12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E0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 еңбекақы қоры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337" w:type="dxa"/>
          </w:tcPr>
          <w:p w14:paraId="08A589F0" w14:textId="7FA0DAD5" w:rsidR="00FF15A7" w:rsidRDefault="00FF15A7" w:rsidP="009F12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86700">
              <w:rPr>
                <w:rFonts w:ascii="Times New Roman" w:hAnsi="Times New Roman" w:cs="Times New Roman"/>
                <w:lang w:val="kk-KZ"/>
              </w:rPr>
              <w:t>Қызметкерлер саны</w:t>
            </w:r>
          </w:p>
        </w:tc>
      </w:tr>
      <w:tr w:rsidR="00D85C5C" w14:paraId="748A1175" w14:textId="77777777" w:rsidTr="00442EE1">
        <w:tc>
          <w:tcPr>
            <w:tcW w:w="562" w:type="dxa"/>
          </w:tcPr>
          <w:p w14:paraId="1EA95AD0" w14:textId="2582DC7A" w:rsidR="00D85C5C" w:rsidRDefault="00D85C5C" w:rsidP="00D85C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10" w:type="dxa"/>
          </w:tcPr>
          <w:p w14:paraId="620DA305" w14:textId="590E420B" w:rsidR="00D85C5C" w:rsidRDefault="00D85C5C" w:rsidP="00D85C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Әкімшілік-басқару персонал</w:t>
            </w:r>
          </w:p>
        </w:tc>
        <w:tc>
          <w:tcPr>
            <w:tcW w:w="2336" w:type="dxa"/>
            <w:vAlign w:val="center"/>
          </w:tcPr>
          <w:p w14:paraId="4033DF44" w14:textId="599C6F2F" w:rsidR="00D85C5C" w:rsidRPr="00D85C5C" w:rsidRDefault="00D85C5C" w:rsidP="00D85C5C">
            <w:pPr>
              <w:spacing w:after="0" w:line="240" w:lineRule="auto"/>
              <w:rPr>
                <w:color w:val="000000"/>
                <w:lang w:val="kk-KZ"/>
              </w:rPr>
            </w:pPr>
            <w:r w:rsidRPr="00D85C5C">
              <w:rPr>
                <w:rFonts w:ascii="Calibri" w:hAnsi="Calibri" w:cs="Calibri"/>
                <w:color w:val="000000"/>
                <w:lang w:val="kk-KZ"/>
              </w:rPr>
              <w:t>Төрт жүз жиырма үш миллион бес жүз қырық сегіз мың жүз алпыс</w:t>
            </w:r>
          </w:p>
        </w:tc>
        <w:tc>
          <w:tcPr>
            <w:tcW w:w="2337" w:type="dxa"/>
            <w:vAlign w:val="center"/>
          </w:tcPr>
          <w:p w14:paraId="2109157D" w14:textId="0AFEE482" w:rsidR="00D85C5C" w:rsidRPr="00CF19B4" w:rsidRDefault="00D85C5C" w:rsidP="00D85C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</w:tr>
      <w:tr w:rsidR="00D85C5C" w:rsidRPr="00D85C5C" w14:paraId="4BDAB4FD" w14:textId="77777777" w:rsidTr="00442EE1">
        <w:tc>
          <w:tcPr>
            <w:tcW w:w="562" w:type="dxa"/>
          </w:tcPr>
          <w:p w14:paraId="68EDE6F1" w14:textId="4EF71D90" w:rsidR="00D85C5C" w:rsidRDefault="00D85C5C" w:rsidP="00D85C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10" w:type="dxa"/>
          </w:tcPr>
          <w:p w14:paraId="09C1968D" w14:textId="1B7BA4E8" w:rsidR="00D85C5C" w:rsidRDefault="00D85C5C" w:rsidP="00D85C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Дәрігер</w:t>
            </w:r>
            <w:r w:rsidR="00FF15A7">
              <w:rPr>
                <w:rFonts w:ascii="Times New Roman" w:hAnsi="Times New Roman" w:cs="Times New Roman"/>
                <w:lang w:val="kk-KZ"/>
              </w:rPr>
              <w:t>лер</w:t>
            </w:r>
          </w:p>
        </w:tc>
        <w:tc>
          <w:tcPr>
            <w:tcW w:w="2336" w:type="dxa"/>
            <w:vAlign w:val="center"/>
          </w:tcPr>
          <w:p w14:paraId="62B96162" w14:textId="58A75ADC" w:rsidR="00D85C5C" w:rsidRPr="00866CF7" w:rsidRDefault="00D85C5C" w:rsidP="00D85C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5C5C">
              <w:rPr>
                <w:color w:val="000000"/>
                <w:lang w:val="kk-KZ"/>
              </w:rPr>
              <w:t xml:space="preserve">бір миллиард сегіз жүз он бір миллион тоқсан үш мың сексен сегіз </w:t>
            </w:r>
          </w:p>
        </w:tc>
        <w:tc>
          <w:tcPr>
            <w:tcW w:w="2337" w:type="dxa"/>
            <w:vAlign w:val="center"/>
          </w:tcPr>
          <w:p w14:paraId="7CD9D559" w14:textId="5656CC4B" w:rsidR="00D85C5C" w:rsidRPr="00656E5E" w:rsidRDefault="00D85C5C" w:rsidP="006D02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207</w:t>
            </w:r>
          </w:p>
        </w:tc>
      </w:tr>
      <w:tr w:rsidR="00D85C5C" w:rsidRPr="00D85C5C" w14:paraId="10D2464E" w14:textId="77777777" w:rsidTr="00442EE1">
        <w:tc>
          <w:tcPr>
            <w:tcW w:w="562" w:type="dxa"/>
          </w:tcPr>
          <w:p w14:paraId="2F1EF19E" w14:textId="0B851408" w:rsidR="00D85C5C" w:rsidRDefault="00D85C5C" w:rsidP="00D85C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110" w:type="dxa"/>
          </w:tcPr>
          <w:p w14:paraId="51280194" w14:textId="6DC76AC6" w:rsidR="00D85C5C" w:rsidRDefault="00D85C5C" w:rsidP="00D85C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медициналық қызметкерлері</w:t>
            </w:r>
          </w:p>
        </w:tc>
        <w:tc>
          <w:tcPr>
            <w:tcW w:w="2336" w:type="dxa"/>
            <w:vAlign w:val="center"/>
          </w:tcPr>
          <w:p w14:paraId="06D17A0A" w14:textId="6FD5EED0" w:rsidR="00D85C5C" w:rsidRPr="0016133F" w:rsidRDefault="00D85C5C" w:rsidP="00D85C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5C5C">
              <w:rPr>
                <w:color w:val="000000"/>
                <w:lang w:val="kk-KZ"/>
              </w:rPr>
              <w:t xml:space="preserve">Алты жүз сексен миллион тоғыз жүз елу </w:t>
            </w:r>
            <w:r w:rsidR="00ED5299">
              <w:rPr>
                <w:color w:val="000000"/>
                <w:lang w:val="kk-KZ"/>
              </w:rPr>
              <w:t>сегіз</w:t>
            </w:r>
            <w:r w:rsidRPr="00D85C5C">
              <w:rPr>
                <w:color w:val="000000"/>
                <w:lang w:val="kk-KZ"/>
              </w:rPr>
              <w:t xml:space="preserve"> </w:t>
            </w:r>
            <w:bookmarkStart w:id="0" w:name="_GoBack"/>
            <w:bookmarkEnd w:id="0"/>
            <w:r w:rsidRPr="00D85C5C">
              <w:rPr>
                <w:color w:val="000000"/>
                <w:lang w:val="kk-KZ"/>
              </w:rPr>
              <w:t xml:space="preserve">мың </w:t>
            </w:r>
          </w:p>
        </w:tc>
        <w:tc>
          <w:tcPr>
            <w:tcW w:w="2337" w:type="dxa"/>
            <w:vAlign w:val="center"/>
          </w:tcPr>
          <w:p w14:paraId="2D437AFF" w14:textId="612C4BB7" w:rsidR="00D85C5C" w:rsidRPr="00656E5E" w:rsidRDefault="00D85C5C" w:rsidP="00D85C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6D0234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D85C5C" w:rsidRPr="00D85C5C" w14:paraId="26CA6F63" w14:textId="77777777" w:rsidTr="00442EE1">
        <w:tc>
          <w:tcPr>
            <w:tcW w:w="562" w:type="dxa"/>
          </w:tcPr>
          <w:p w14:paraId="205E18EA" w14:textId="12FD3367" w:rsidR="00D85C5C" w:rsidRDefault="00D85C5C" w:rsidP="00D85C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110" w:type="dxa"/>
          </w:tcPr>
          <w:p w14:paraId="54EE9C07" w14:textId="7EC7C0E1" w:rsidR="00D85C5C" w:rsidRPr="00C35111" w:rsidRDefault="00D85C5C" w:rsidP="00D85C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Шаруа қызметкерлер жиыны</w:t>
            </w:r>
          </w:p>
        </w:tc>
        <w:tc>
          <w:tcPr>
            <w:tcW w:w="2336" w:type="dxa"/>
            <w:vAlign w:val="center"/>
          </w:tcPr>
          <w:p w14:paraId="60E49C45" w14:textId="3C920CC4" w:rsidR="00D85C5C" w:rsidRPr="00D85C5C" w:rsidRDefault="00D85C5C" w:rsidP="00D85C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5C5C">
              <w:rPr>
                <w:color w:val="000000"/>
                <w:lang w:val="kk-KZ"/>
              </w:rPr>
              <w:t>Бес жүз жиырма бес миллион екі жүз жетпіс бес мың бес жүз жиырма</w:t>
            </w:r>
          </w:p>
        </w:tc>
        <w:tc>
          <w:tcPr>
            <w:tcW w:w="2337" w:type="dxa"/>
            <w:vAlign w:val="center"/>
          </w:tcPr>
          <w:p w14:paraId="3D4BFA34" w14:textId="057E1BEE" w:rsidR="00D85C5C" w:rsidRPr="00CF19B4" w:rsidRDefault="00D85C5C" w:rsidP="00D85C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209</w:t>
            </w:r>
          </w:p>
        </w:tc>
      </w:tr>
    </w:tbl>
    <w:p w14:paraId="0DFE3495" w14:textId="4DABFAC4" w:rsidR="00FC36A0" w:rsidRDefault="00FC36A0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59C00EF0" w14:textId="3809EFF2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7046D9D3" w14:textId="691F555B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721A7EDD" w14:textId="7D81D952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797B1480" w14:textId="01CE5A21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64645F8E" w14:textId="79B2B3EF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57ADD780" w14:textId="4331371F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521C7022" w14:textId="2806BA52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252699D5" w14:textId="54E84324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6D648FD8" w14:textId="45EF5485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098A4052" w14:textId="17D240A4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7806858D" w14:textId="2D3E7859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509BA734" w14:textId="7E6A4A8E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4EBB3387" w14:textId="7EB4AB50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741D2421" w14:textId="1D0000CC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242B60DC" w14:textId="2F2FAE17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53367DD9" w14:textId="6C86D156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0B19B27A" w14:textId="73E0AAE3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0D08CBFE" w14:textId="258676C3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3286E61D" w14:textId="7C36C71D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5C81A8E8" w14:textId="7539B268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417E2FB9" w14:textId="20F9B46F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268BD334" w14:textId="5D32334D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69E700C3" w14:textId="5E153957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6F45AC26" w14:textId="5EEA1D12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566A31B3" w14:textId="43018B06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2D3F4DB5" w14:textId="58F80DEC" w:rsidR="0016133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3F3AE9FB" w14:textId="522F1474" w:rsidR="00886700" w:rsidRDefault="00886700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733090E9" w14:textId="77777777" w:rsidR="00886700" w:rsidRDefault="00886700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4116D1FA" w14:textId="4506AD57" w:rsidR="00852240" w:rsidRDefault="00FF15A7" w:rsidP="001613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F15A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>Коммунальное государственное предприятие на праве хозяйственного ведения "Областной центр психического здоровья" управления здравоохранения Карагандинской области</w:t>
      </w:r>
    </w:p>
    <w:p w14:paraId="2C34C2E4" w14:textId="77777777" w:rsidR="00FF15A7" w:rsidRPr="0016133F" w:rsidRDefault="00FF15A7" w:rsidP="001613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FF15A7" w14:paraId="361FBD57" w14:textId="77777777" w:rsidTr="00AF3C8E">
        <w:trPr>
          <w:trHeight w:val="1771"/>
        </w:trPr>
        <w:tc>
          <w:tcPr>
            <w:tcW w:w="562" w:type="dxa"/>
          </w:tcPr>
          <w:p w14:paraId="62D53A61" w14:textId="77777777" w:rsidR="00FF15A7" w:rsidRDefault="00FF15A7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  <w:p w14:paraId="292D9646" w14:textId="77777777" w:rsidR="00FF15A7" w:rsidRDefault="00FF15A7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54EAB8A5" w14:textId="77777777" w:rsidR="00FF15A7" w:rsidRDefault="00FF15A7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4BBA7B24" w14:textId="77777777" w:rsidR="00FF15A7" w:rsidRDefault="00FF15A7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4C12EED1" w14:textId="77777777" w:rsidR="00FF15A7" w:rsidRDefault="00FF15A7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0D60A07F" w14:textId="77777777" w:rsidR="00FF15A7" w:rsidRDefault="00FF15A7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4EF9D013" w14:textId="77777777" w:rsidR="00FF15A7" w:rsidRDefault="00FF15A7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п/п</w:t>
            </w:r>
          </w:p>
        </w:tc>
        <w:tc>
          <w:tcPr>
            <w:tcW w:w="4110" w:type="dxa"/>
          </w:tcPr>
          <w:p w14:paraId="60B03B9F" w14:textId="77777777" w:rsidR="00FF15A7" w:rsidRDefault="00FF15A7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63EC30FB" w14:textId="77777777" w:rsidR="00FF15A7" w:rsidRDefault="00FF15A7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771FEE70" w14:textId="5D549E72" w:rsidR="00FF15A7" w:rsidRDefault="00FF15A7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Должность</w:t>
            </w:r>
          </w:p>
        </w:tc>
        <w:tc>
          <w:tcPr>
            <w:tcW w:w="2336" w:type="dxa"/>
          </w:tcPr>
          <w:p w14:paraId="298D0805" w14:textId="5BD0FEDC" w:rsidR="00FF15A7" w:rsidRDefault="00FF15A7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F15A7">
              <w:rPr>
                <w:rFonts w:ascii="Times New Roman" w:hAnsi="Times New Roman" w:cs="Times New Roman"/>
                <w:lang w:val="kk-KZ"/>
              </w:rPr>
              <w:t xml:space="preserve">Годовой фонд оплаты труда </w:t>
            </w:r>
          </w:p>
        </w:tc>
        <w:tc>
          <w:tcPr>
            <w:tcW w:w="2337" w:type="dxa"/>
          </w:tcPr>
          <w:p w14:paraId="22796D80" w14:textId="77777777" w:rsidR="00FF15A7" w:rsidRDefault="00FF15A7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276A9E7E" w14:textId="77777777" w:rsidR="00FF15A7" w:rsidRDefault="00FF15A7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404F1D31" w14:textId="1F64CE85" w:rsidR="00FF15A7" w:rsidRDefault="00FF15A7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Количество сотрудников</w:t>
            </w:r>
          </w:p>
        </w:tc>
      </w:tr>
      <w:tr w:rsidR="0016133F" w14:paraId="0978B540" w14:textId="77777777" w:rsidTr="00F14D92">
        <w:tc>
          <w:tcPr>
            <w:tcW w:w="562" w:type="dxa"/>
          </w:tcPr>
          <w:p w14:paraId="35FCD806" w14:textId="77777777" w:rsidR="0016133F" w:rsidRDefault="0016133F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10" w:type="dxa"/>
          </w:tcPr>
          <w:p w14:paraId="29751965" w14:textId="77777777" w:rsidR="0016133F" w:rsidRPr="005B57F3" w:rsidRDefault="0016133F" w:rsidP="0016133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 w:rsidRPr="005B57F3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Административно-управленческий персонал</w:t>
            </w:r>
          </w:p>
          <w:p w14:paraId="3FF84176" w14:textId="574C696B" w:rsidR="0016133F" w:rsidRDefault="0016133F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36" w:type="dxa"/>
            <w:vAlign w:val="center"/>
          </w:tcPr>
          <w:p w14:paraId="31F41932" w14:textId="3C33FAC9" w:rsidR="0016133F" w:rsidRPr="0051137D" w:rsidRDefault="00D85C5C" w:rsidP="00852240">
            <w:pPr>
              <w:spacing w:after="0" w:line="240" w:lineRule="auto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Четыреста двадцать три миллиона пятьсот сорок восемь тысяч сто шестьдесят</w:t>
            </w:r>
          </w:p>
        </w:tc>
        <w:tc>
          <w:tcPr>
            <w:tcW w:w="2337" w:type="dxa"/>
            <w:vAlign w:val="center"/>
          </w:tcPr>
          <w:p w14:paraId="7C775805" w14:textId="54515AD6" w:rsidR="0016133F" w:rsidRPr="00CF19B4" w:rsidRDefault="00D85C5C" w:rsidP="00F14D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</w:tr>
      <w:tr w:rsidR="0016133F" w14:paraId="121F7151" w14:textId="77777777" w:rsidTr="00F14D92">
        <w:tc>
          <w:tcPr>
            <w:tcW w:w="562" w:type="dxa"/>
          </w:tcPr>
          <w:p w14:paraId="76CE0E6C" w14:textId="77777777" w:rsidR="0016133F" w:rsidRDefault="0016133F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10" w:type="dxa"/>
          </w:tcPr>
          <w:p w14:paraId="5A0C2B96" w14:textId="7D8F3CEC" w:rsidR="0016133F" w:rsidRDefault="00D85C5C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Врачи</w:t>
            </w:r>
          </w:p>
        </w:tc>
        <w:tc>
          <w:tcPr>
            <w:tcW w:w="2336" w:type="dxa"/>
            <w:vAlign w:val="center"/>
          </w:tcPr>
          <w:p w14:paraId="7A6BCD45" w14:textId="7C719A30" w:rsidR="0016133F" w:rsidRPr="00866CF7" w:rsidRDefault="00D85C5C" w:rsidP="001613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один миллиард восемьсот одиннадцать миллионов девяносто три тысячи восемьдесят восемь</w:t>
            </w:r>
          </w:p>
        </w:tc>
        <w:tc>
          <w:tcPr>
            <w:tcW w:w="2337" w:type="dxa"/>
            <w:vAlign w:val="center"/>
          </w:tcPr>
          <w:p w14:paraId="14AED49E" w14:textId="28816C19" w:rsidR="0016133F" w:rsidRPr="00656E5E" w:rsidRDefault="00D85C5C" w:rsidP="00F14D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207</w:t>
            </w:r>
          </w:p>
        </w:tc>
      </w:tr>
      <w:tr w:rsidR="0016133F" w14:paraId="2AB15BA2" w14:textId="77777777" w:rsidTr="00F14D92">
        <w:tc>
          <w:tcPr>
            <w:tcW w:w="562" w:type="dxa"/>
          </w:tcPr>
          <w:p w14:paraId="5B4AE194" w14:textId="77777777" w:rsidR="0016133F" w:rsidRDefault="0016133F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110" w:type="dxa"/>
          </w:tcPr>
          <w:p w14:paraId="62BCCA99" w14:textId="7D822C43" w:rsidR="0016133F" w:rsidRDefault="00D85C5C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Средний медицинский персонал</w:t>
            </w:r>
          </w:p>
        </w:tc>
        <w:tc>
          <w:tcPr>
            <w:tcW w:w="2336" w:type="dxa"/>
            <w:vAlign w:val="center"/>
          </w:tcPr>
          <w:p w14:paraId="65D770D3" w14:textId="2B275351" w:rsidR="0016133F" w:rsidRPr="0016133F" w:rsidRDefault="00D85C5C" w:rsidP="001613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Шестьсот восемьдесят миллионов девятьсот пятьдесят</w:t>
            </w:r>
            <w:r w:rsidR="00ED5299" w:rsidRPr="00ED5299">
              <w:rPr>
                <w:rFonts w:ascii="Times New Roman" w:hAnsi="Times New Roman" w:cs="Times New Roman"/>
              </w:rPr>
              <w:t xml:space="preserve"> </w:t>
            </w:r>
            <w:r w:rsidR="00ED5299">
              <w:rPr>
                <w:rFonts w:ascii="Times New Roman" w:hAnsi="Times New Roman" w:cs="Times New Roman"/>
                <w:lang w:val="kk-KZ"/>
              </w:rPr>
              <w:t>восем</w:t>
            </w:r>
            <w:r>
              <w:rPr>
                <w:rFonts w:ascii="Times New Roman" w:hAnsi="Times New Roman" w:cs="Times New Roman"/>
                <w:lang w:val="kk-KZ"/>
              </w:rPr>
              <w:t>ь тысяч</w:t>
            </w:r>
          </w:p>
        </w:tc>
        <w:tc>
          <w:tcPr>
            <w:tcW w:w="2337" w:type="dxa"/>
            <w:vAlign w:val="center"/>
          </w:tcPr>
          <w:p w14:paraId="15103AED" w14:textId="45940670" w:rsidR="0016133F" w:rsidRPr="00656E5E" w:rsidRDefault="00D85C5C" w:rsidP="00F14D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6D0234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16133F" w14:paraId="256B2D3C" w14:textId="77777777" w:rsidTr="00F14D92">
        <w:tc>
          <w:tcPr>
            <w:tcW w:w="562" w:type="dxa"/>
          </w:tcPr>
          <w:p w14:paraId="71151EE7" w14:textId="77777777" w:rsidR="0016133F" w:rsidRDefault="0016133F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110" w:type="dxa"/>
          </w:tcPr>
          <w:p w14:paraId="524F87F1" w14:textId="5E52671B" w:rsidR="0016133F" w:rsidRPr="00C35111" w:rsidRDefault="0016133F" w:rsidP="00F14D9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Тех.персонал</w:t>
            </w:r>
          </w:p>
        </w:tc>
        <w:tc>
          <w:tcPr>
            <w:tcW w:w="2336" w:type="dxa"/>
            <w:vAlign w:val="center"/>
          </w:tcPr>
          <w:p w14:paraId="6D686CAE" w14:textId="56EE1634" w:rsidR="0016133F" w:rsidRDefault="00D85C5C" w:rsidP="001613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Пятьсот двадцать пять миллионов двести семьдесят пять тысяч пятьсот двадцать </w:t>
            </w:r>
          </w:p>
          <w:p w14:paraId="50FC0461" w14:textId="64E62D65" w:rsidR="00D85C5C" w:rsidRPr="00D85C5C" w:rsidRDefault="00D85C5C" w:rsidP="001613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37" w:type="dxa"/>
            <w:vAlign w:val="center"/>
          </w:tcPr>
          <w:p w14:paraId="6F40D653" w14:textId="4490B828" w:rsidR="0016133F" w:rsidRPr="00CF19B4" w:rsidRDefault="00D85C5C" w:rsidP="00F14D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209</w:t>
            </w:r>
          </w:p>
        </w:tc>
      </w:tr>
    </w:tbl>
    <w:p w14:paraId="72FCAE48" w14:textId="77777777" w:rsidR="0016133F" w:rsidRPr="0034328F" w:rsidRDefault="0016133F" w:rsidP="009F122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sectPr w:rsidR="0016133F" w:rsidRPr="0034328F" w:rsidSect="005421F5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2E9C4" w14:textId="77777777" w:rsidR="000937A3" w:rsidRDefault="000937A3">
      <w:pPr>
        <w:spacing w:line="240" w:lineRule="auto"/>
      </w:pPr>
      <w:r>
        <w:separator/>
      </w:r>
    </w:p>
  </w:endnote>
  <w:endnote w:type="continuationSeparator" w:id="0">
    <w:p w14:paraId="2C346D64" w14:textId="77777777" w:rsidR="000937A3" w:rsidRDefault="000937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59C4F" w14:textId="77777777" w:rsidR="000937A3" w:rsidRDefault="000937A3">
      <w:pPr>
        <w:spacing w:after="0"/>
      </w:pPr>
      <w:r>
        <w:separator/>
      </w:r>
    </w:p>
  </w:footnote>
  <w:footnote w:type="continuationSeparator" w:id="0">
    <w:p w14:paraId="6B57F50F" w14:textId="77777777" w:rsidR="000937A3" w:rsidRDefault="000937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95"/>
    <w:rsid w:val="0001296F"/>
    <w:rsid w:val="00017DB1"/>
    <w:rsid w:val="00027F7D"/>
    <w:rsid w:val="000430E8"/>
    <w:rsid w:val="00060F0F"/>
    <w:rsid w:val="000739FC"/>
    <w:rsid w:val="000750F0"/>
    <w:rsid w:val="00081B31"/>
    <w:rsid w:val="00084FF1"/>
    <w:rsid w:val="000937A3"/>
    <w:rsid w:val="00097188"/>
    <w:rsid w:val="000B512D"/>
    <w:rsid w:val="0010131D"/>
    <w:rsid w:val="00130F87"/>
    <w:rsid w:val="001522DD"/>
    <w:rsid w:val="0016133F"/>
    <w:rsid w:val="00163AF7"/>
    <w:rsid w:val="001A09D1"/>
    <w:rsid w:val="001B1F5C"/>
    <w:rsid w:val="001C4EC8"/>
    <w:rsid w:val="001D5498"/>
    <w:rsid w:val="001E3860"/>
    <w:rsid w:val="001E481C"/>
    <w:rsid w:val="001F4929"/>
    <w:rsid w:val="001F5816"/>
    <w:rsid w:val="00227C36"/>
    <w:rsid w:val="002302EC"/>
    <w:rsid w:val="0024700D"/>
    <w:rsid w:val="002553BB"/>
    <w:rsid w:val="002617C8"/>
    <w:rsid w:val="002628BC"/>
    <w:rsid w:val="00282A0C"/>
    <w:rsid w:val="002B3D88"/>
    <w:rsid w:val="002C3952"/>
    <w:rsid w:val="002D6161"/>
    <w:rsid w:val="002D6678"/>
    <w:rsid w:val="00311937"/>
    <w:rsid w:val="00314C8D"/>
    <w:rsid w:val="00322700"/>
    <w:rsid w:val="003311E1"/>
    <w:rsid w:val="003362CB"/>
    <w:rsid w:val="0034328F"/>
    <w:rsid w:val="00346C7E"/>
    <w:rsid w:val="00360595"/>
    <w:rsid w:val="00380BB1"/>
    <w:rsid w:val="003916F3"/>
    <w:rsid w:val="003B0519"/>
    <w:rsid w:val="003C08AF"/>
    <w:rsid w:val="003D6A6B"/>
    <w:rsid w:val="003D79D5"/>
    <w:rsid w:val="00405174"/>
    <w:rsid w:val="0043124B"/>
    <w:rsid w:val="00456315"/>
    <w:rsid w:val="00456CAA"/>
    <w:rsid w:val="0048317D"/>
    <w:rsid w:val="0049577B"/>
    <w:rsid w:val="004D69FD"/>
    <w:rsid w:val="004D7BDE"/>
    <w:rsid w:val="004F5F01"/>
    <w:rsid w:val="0051137D"/>
    <w:rsid w:val="005421F5"/>
    <w:rsid w:val="00545190"/>
    <w:rsid w:val="0057084E"/>
    <w:rsid w:val="00585292"/>
    <w:rsid w:val="005A3AF5"/>
    <w:rsid w:val="005E3D1F"/>
    <w:rsid w:val="005E7537"/>
    <w:rsid w:val="0061173E"/>
    <w:rsid w:val="00627163"/>
    <w:rsid w:val="0064386F"/>
    <w:rsid w:val="00654EF1"/>
    <w:rsid w:val="00656E5E"/>
    <w:rsid w:val="00672FEE"/>
    <w:rsid w:val="006B53C4"/>
    <w:rsid w:val="006C4179"/>
    <w:rsid w:val="006D0234"/>
    <w:rsid w:val="006E2307"/>
    <w:rsid w:val="006F271C"/>
    <w:rsid w:val="0070112D"/>
    <w:rsid w:val="00713E81"/>
    <w:rsid w:val="007167A6"/>
    <w:rsid w:val="00733E39"/>
    <w:rsid w:val="00733F1E"/>
    <w:rsid w:val="007570B7"/>
    <w:rsid w:val="00775A57"/>
    <w:rsid w:val="00792730"/>
    <w:rsid w:val="007A0913"/>
    <w:rsid w:val="007B4E5E"/>
    <w:rsid w:val="007E3D08"/>
    <w:rsid w:val="007F3620"/>
    <w:rsid w:val="00801EA1"/>
    <w:rsid w:val="00826110"/>
    <w:rsid w:val="00832997"/>
    <w:rsid w:val="00841CEF"/>
    <w:rsid w:val="00851A04"/>
    <w:rsid w:val="00852240"/>
    <w:rsid w:val="00866CF7"/>
    <w:rsid w:val="00872F7E"/>
    <w:rsid w:val="00886700"/>
    <w:rsid w:val="0089163C"/>
    <w:rsid w:val="008952E2"/>
    <w:rsid w:val="008B2D90"/>
    <w:rsid w:val="008F412E"/>
    <w:rsid w:val="008F6361"/>
    <w:rsid w:val="008F64C1"/>
    <w:rsid w:val="009010B1"/>
    <w:rsid w:val="0094218D"/>
    <w:rsid w:val="00947923"/>
    <w:rsid w:val="009514D8"/>
    <w:rsid w:val="00970D2D"/>
    <w:rsid w:val="009973BF"/>
    <w:rsid w:val="009D0F34"/>
    <w:rsid w:val="009F1221"/>
    <w:rsid w:val="00A5525A"/>
    <w:rsid w:val="00A617DC"/>
    <w:rsid w:val="00A631BF"/>
    <w:rsid w:val="00A6535E"/>
    <w:rsid w:val="00A81723"/>
    <w:rsid w:val="00AA2259"/>
    <w:rsid w:val="00AB7AB5"/>
    <w:rsid w:val="00AC3DDF"/>
    <w:rsid w:val="00AF0807"/>
    <w:rsid w:val="00AF1F46"/>
    <w:rsid w:val="00AF78EC"/>
    <w:rsid w:val="00B15A29"/>
    <w:rsid w:val="00B1689C"/>
    <w:rsid w:val="00B17193"/>
    <w:rsid w:val="00B2462E"/>
    <w:rsid w:val="00B408CC"/>
    <w:rsid w:val="00B46D75"/>
    <w:rsid w:val="00B54098"/>
    <w:rsid w:val="00B95EE6"/>
    <w:rsid w:val="00BA1A9D"/>
    <w:rsid w:val="00BA39E9"/>
    <w:rsid w:val="00BB6D35"/>
    <w:rsid w:val="00BC3622"/>
    <w:rsid w:val="00BC7F64"/>
    <w:rsid w:val="00BE679B"/>
    <w:rsid w:val="00C119C2"/>
    <w:rsid w:val="00C35111"/>
    <w:rsid w:val="00C57CB9"/>
    <w:rsid w:val="00C745AE"/>
    <w:rsid w:val="00C97E16"/>
    <w:rsid w:val="00CA1827"/>
    <w:rsid w:val="00CB0C98"/>
    <w:rsid w:val="00CF19B4"/>
    <w:rsid w:val="00D06B07"/>
    <w:rsid w:val="00D11616"/>
    <w:rsid w:val="00D34BB1"/>
    <w:rsid w:val="00D47E78"/>
    <w:rsid w:val="00D6181C"/>
    <w:rsid w:val="00D6741E"/>
    <w:rsid w:val="00D77408"/>
    <w:rsid w:val="00D85C5C"/>
    <w:rsid w:val="00D97015"/>
    <w:rsid w:val="00DB15F6"/>
    <w:rsid w:val="00DD6630"/>
    <w:rsid w:val="00DE6639"/>
    <w:rsid w:val="00DF0C4E"/>
    <w:rsid w:val="00DF36EB"/>
    <w:rsid w:val="00E06443"/>
    <w:rsid w:val="00E26019"/>
    <w:rsid w:val="00E35903"/>
    <w:rsid w:val="00E5726B"/>
    <w:rsid w:val="00E60BA3"/>
    <w:rsid w:val="00E639B3"/>
    <w:rsid w:val="00E94261"/>
    <w:rsid w:val="00ED5299"/>
    <w:rsid w:val="00ED5953"/>
    <w:rsid w:val="00EE6E2E"/>
    <w:rsid w:val="00F022EA"/>
    <w:rsid w:val="00F21B80"/>
    <w:rsid w:val="00F55E57"/>
    <w:rsid w:val="00F77002"/>
    <w:rsid w:val="00FC36A0"/>
    <w:rsid w:val="00FD647C"/>
    <w:rsid w:val="00FE5E85"/>
    <w:rsid w:val="00FF15A7"/>
    <w:rsid w:val="00FF5A6D"/>
    <w:rsid w:val="1A5E5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13AA"/>
  <w15:docId w15:val="{0E87DC0B-6729-42AC-8DEF-E3F53C73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70D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0D2D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970D2D"/>
  </w:style>
  <w:style w:type="paragraph" w:styleId="a4">
    <w:name w:val="Balloon Text"/>
    <w:basedOn w:val="a"/>
    <w:link w:val="a5"/>
    <w:uiPriority w:val="99"/>
    <w:semiHidden/>
    <w:unhideWhenUsed/>
    <w:rsid w:val="00AB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AB5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FC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announce/index/62766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3bl.goszakup.gov.kz/kz/announce/index/627666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8E24-BDF2-45DE-937F-6C109105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Женис Райымбеков</dc:creator>
  <cp:lastModifiedBy>User</cp:lastModifiedBy>
  <cp:revision>7</cp:revision>
  <cp:lastPrinted>2025-02-11T12:39:00Z</cp:lastPrinted>
  <dcterms:created xsi:type="dcterms:W3CDTF">2025-02-11T12:40:00Z</dcterms:created>
  <dcterms:modified xsi:type="dcterms:W3CDTF">2025-02-11T14:39:00Z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7C85F5A18F114375B2EA1A849A901A8A</vt:lpwstr>
  </property>
  <property fmtid="{D5CDD505-2E9C-101B-9397-08002B2CF9AE}" pid="4" name="MSIP_Label_defa4170-0d19-0005-0001-bc88714345d2_Enabled">
    <vt:lpwstr>true</vt:lpwstr>
  </property>
  <property fmtid="{D5CDD505-2E9C-101B-9397-08002B2CF9AE}" pid="5" name="MSIP_Label_defa4170-0d19-0005-0001-bc88714345d2_SetDate">
    <vt:lpwstr>2024-02-14T08:18:24Z</vt:lpwstr>
  </property>
  <property fmtid="{D5CDD505-2E9C-101B-9397-08002B2CF9AE}" pid="6" name="MSIP_Label_defa4170-0d19-0005-0001-bc88714345d2_Method">
    <vt:lpwstr>Standard</vt:lpwstr>
  </property>
  <property fmtid="{D5CDD505-2E9C-101B-9397-08002B2CF9AE}" pid="7" name="MSIP_Label_defa4170-0d19-0005-0001-bc88714345d2_Name">
    <vt:lpwstr>defa4170-0d19-0005-0001-bc88714345d2</vt:lpwstr>
  </property>
  <property fmtid="{D5CDD505-2E9C-101B-9397-08002B2CF9AE}" pid="8" name="MSIP_Label_defa4170-0d19-0005-0001-bc88714345d2_SiteId">
    <vt:lpwstr>7470e6aa-7ba3-459b-b601-e987fc0a153a</vt:lpwstr>
  </property>
  <property fmtid="{D5CDD505-2E9C-101B-9397-08002B2CF9AE}" pid="9" name="MSIP_Label_defa4170-0d19-0005-0001-bc88714345d2_ActionId">
    <vt:lpwstr>665c5b09-0c26-4582-8a5f-14bba4016b4c</vt:lpwstr>
  </property>
  <property fmtid="{D5CDD505-2E9C-101B-9397-08002B2CF9AE}" pid="10" name="MSIP_Label_defa4170-0d19-0005-0001-bc88714345d2_ContentBits">
    <vt:lpwstr>0</vt:lpwstr>
  </property>
</Properties>
</file>